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431165</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457200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0" w:lineRule="exact"/>
        <w:rPr>
          <w:sz w:val="24"/>
          <w:szCs w:val="24"/>
          <w:color w:val="auto"/>
        </w:rPr>
      </w:pPr>
    </w:p>
    <w:p>
      <w:pPr>
        <w:ind w:left="620" w:hanging="389"/>
        <w:spacing w:after="0"/>
        <w:tabs>
          <w:tab w:leader="none" w:pos="6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52" w:lineRule="exact"/>
        <w:rPr>
          <w:sz w:val="24"/>
          <w:szCs w:val="24"/>
          <w:color w:val="auto"/>
        </w:rPr>
      </w:pPr>
    </w:p>
    <w:p>
      <w:pPr>
        <w:ind w:left="620" w:hanging="396"/>
        <w:spacing w:after="0"/>
        <w:tabs>
          <w:tab w:leader="none" w:pos="62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4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 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1-5318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KENNAMETAL INC.</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5" w:right="339" w:bottom="1440" w:gutter="0" w:footer="0" w:header="0"/>
        </w:sectPr>
      </w:pPr>
    </w:p>
    <w:p>
      <w:pPr>
        <w:spacing w:after="0" w:line="120"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25-0900168</w:t>
      </w:r>
    </w:p>
    <w:p>
      <w:pPr>
        <w:spacing w:after="0" w:line="31"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79" w:lineRule="exact"/>
        <w:rPr>
          <w:sz w:val="24"/>
          <w:szCs w:val="24"/>
          <w:color w:val="auto"/>
        </w:rPr>
      </w:pPr>
    </w:p>
    <w:p>
      <w:pPr>
        <w:sectPr>
          <w:pgSz w:w="11900" w:h="16838" w:orient="portrait"/>
          <w:cols w:equalWidth="0" w:num="2">
            <w:col w:w="7020" w:space="720"/>
            <w:col w:w="3500"/>
          </w:cols>
          <w:pgMar w:left="320" w:top="225" w:right="339" w:bottom="1440" w:gutter="0" w:footer="0" w:header="0"/>
          <w:type w:val="continuous"/>
        </w:sectPr>
      </w:pPr>
    </w:p>
    <w:p>
      <w:pPr>
        <w:ind w:left="2320"/>
        <w:spacing w:after="0"/>
        <w:rPr>
          <w:sz w:val="20"/>
          <w:szCs w:val="20"/>
          <w:color w:val="auto"/>
        </w:rPr>
      </w:pPr>
      <w:r>
        <w:rPr>
          <w:rFonts w:ascii="Times New Roman" w:cs="Times New Roman" w:eastAsia="Times New Roman" w:hAnsi="Times New Roman"/>
          <w:sz w:val="18"/>
          <w:szCs w:val="18"/>
          <w:b w:val="1"/>
          <w:bCs w:val="1"/>
          <w:color w:val="auto"/>
        </w:rPr>
        <w:t>525 William Penn Place</w:t>
      </w:r>
    </w:p>
    <w:p>
      <w:pPr>
        <w:spacing w:after="0" w:line="31"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Suite 3300</w:t>
      </w:r>
    </w:p>
    <w:p>
      <w:pPr>
        <w:spacing w:after="0" w:line="23"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Pittsburgh, Pennsylvania</w:t>
      </w:r>
    </w:p>
    <w:p>
      <w:pPr>
        <w:spacing w:after="0" w:line="23"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9"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15219</w:t>
      </w:r>
    </w:p>
    <w:p>
      <w:pPr>
        <w:spacing w:after="0" w:line="31"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color w:val="auto"/>
        </w:rPr>
        <w:t>(Zip Code)</w:t>
      </w:r>
    </w:p>
    <w:p>
      <w:pPr>
        <w:spacing w:after="0" w:line="95" w:lineRule="exact"/>
        <w:rPr>
          <w:sz w:val="24"/>
          <w:szCs w:val="24"/>
          <w:color w:val="auto"/>
        </w:rPr>
      </w:pPr>
    </w:p>
    <w:p>
      <w:pPr>
        <w:sectPr>
          <w:pgSz w:w="11900" w:h="16838" w:orient="portrait"/>
          <w:cols w:equalWidth="0" w:num="2">
            <w:col w:w="7920" w:space="720"/>
            <w:col w:w="2600"/>
          </w:cols>
          <w:pgMar w:left="320" w:top="225" w:right="339" w:bottom="1440" w:gutter="0" w:footer="0" w:header="0"/>
          <w:type w:val="continuous"/>
        </w:sectPr>
      </w:pPr>
    </w:p>
    <w:p>
      <w:pPr>
        <w:ind w:left="3160"/>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(412) 248-8000</w:t>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225" w:right="339" w:bottom="1440" w:gutter="0" w:footer="0" w:header="0"/>
          <w:type w:val="continuous"/>
        </w:sectPr>
      </w:pPr>
    </w:p>
    <w:p>
      <w:pPr>
        <w:spacing w:after="0" w:line="124"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8" w:lineRule="exact"/>
        <w:rPr>
          <w:sz w:val="24"/>
          <w:szCs w:val="24"/>
          <w:color w:val="auto"/>
        </w:rPr>
      </w:pPr>
    </w:p>
    <w:p>
      <w:pPr>
        <w:sectPr>
          <w:pgSz w:w="11900" w:h="16838" w:orient="portrait"/>
          <w:cols w:equalWidth="0" w:num="3">
            <w:col w:w="4780" w:space="720"/>
            <w:col w:w="1440" w:space="720"/>
            <w:col w:w="3580"/>
          </w:cols>
          <w:pgMar w:left="320" w:top="225" w:right="339" w:bottom="1440" w:gutter="0" w:footer="0" w:header="0"/>
          <w:type w:val="continuous"/>
        </w:sectPr>
      </w:pPr>
    </w:p>
    <w:p>
      <w:pPr>
        <w:jc w:val="center"/>
        <w:ind w:left="120"/>
        <w:spacing w:after="0"/>
        <w:rPr>
          <w:sz w:val="20"/>
          <w:szCs w:val="20"/>
          <w:color w:val="auto"/>
        </w:rPr>
      </w:pPr>
      <w:r>
        <w:rPr>
          <w:rFonts w:ascii="Times New Roman" w:cs="Times New Roman" w:eastAsia="Times New Roman" w:hAnsi="Times New Roman"/>
          <w:sz w:val="18"/>
          <w:szCs w:val="18"/>
          <w:color w:val="auto"/>
        </w:rPr>
        <w:t>Capital Stock, par value $1.25 per share</w:t>
      </w:r>
    </w:p>
    <w:p>
      <w:pPr>
        <w:spacing w:after="0" w:line="27" w:lineRule="exact"/>
        <w:rPr>
          <w:sz w:val="24"/>
          <w:szCs w:val="24"/>
          <w:color w:val="auto"/>
        </w:rPr>
      </w:pPr>
    </w:p>
    <w:p>
      <w:pPr>
        <w:jc w:val="center"/>
        <w:ind w:left="120"/>
        <w:spacing w:after="0"/>
        <w:rPr>
          <w:sz w:val="20"/>
          <w:szCs w:val="20"/>
          <w:color w:val="auto"/>
        </w:rPr>
      </w:pPr>
      <w:r>
        <w:rPr>
          <w:rFonts w:ascii="Times New Roman" w:cs="Times New Roman" w:eastAsia="Times New Roman" w:hAnsi="Times New Roman"/>
          <w:sz w:val="18"/>
          <w:szCs w:val="18"/>
          <w:color w:val="auto"/>
        </w:rPr>
        <w:t>Preferred Stock Purchase Rights</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Times New Roman" w:cs="Times New Roman" w:eastAsia="Times New Roman" w:hAnsi="Times New Roman"/>
          <w:sz w:val="18"/>
          <w:szCs w:val="18"/>
          <w:color w:val="auto"/>
        </w:rPr>
        <w:t>KMT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168" w:lineRule="exact"/>
        <w:rPr>
          <w:sz w:val="24"/>
          <w:szCs w:val="24"/>
          <w:color w:val="auto"/>
        </w:rPr>
      </w:pPr>
    </w:p>
    <w:p>
      <w:pPr>
        <w:sectPr>
          <w:pgSz w:w="11900" w:h="16838" w:orient="portrait"/>
          <w:cols w:equalWidth="0" w:num="3">
            <w:col w:w="5080" w:space="720"/>
            <w:col w:w="1520" w:space="720"/>
            <w:col w:w="3200"/>
          </w:cols>
          <w:pgMar w:left="320" w:top="225" w:right="339" w:bottom="1440" w:gutter="0" w:footer="0" w:header="0"/>
          <w:type w:val="continuous"/>
        </w:sect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68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472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Emerging growth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1"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30, 2026, 77,036,573 shares of the Registrant’s Capital Stock, par value $1.25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128905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KENNAMETAL INC.</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2026</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10500" w:val="left"/>
        </w:tabs>
        <w:rPr>
          <w:sz w:val="20"/>
          <w:szCs w:val="20"/>
          <w:color w:val="auto"/>
        </w:rPr>
      </w:pPr>
      <w:r>
        <w:rPr>
          <w:rFonts w:ascii="Times New Roman" w:cs="Times New Roman" w:eastAsia="Times New Roman" w:hAnsi="Times New Roman"/>
          <w:sz w:val="18"/>
          <w:szCs w:val="18"/>
          <w:u w:val="single" w:color="auto"/>
          <w:color w:val="auto"/>
        </w:rPr>
        <w:t>Item No.</w:t>
      </w:r>
      <w:r>
        <w:rPr>
          <w:sz w:val="20"/>
          <w:szCs w:val="20"/>
          <w:color w:val="auto"/>
        </w:rPr>
        <w:tab/>
      </w:r>
      <w:r>
        <w:rPr>
          <w:rFonts w:ascii="Times New Roman" w:cs="Times New Roman" w:eastAsia="Times New Roman" w:hAnsi="Times New Roman"/>
          <w:sz w:val="17"/>
          <w:szCs w:val="17"/>
          <w:u w:val="single" w:color="auto"/>
          <w:color w:val="auto"/>
        </w:rPr>
        <w:t>Page No.</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PART I - FINANCIAL INFORMATION</w:t>
      </w:r>
    </w:p>
    <w:p>
      <w:pPr>
        <w:spacing w:after="0" w:line="297" w:lineRule="exact"/>
        <w:rPr>
          <w:sz w:val="20"/>
          <w:szCs w:val="20"/>
          <w:color w:val="auto"/>
        </w:rPr>
      </w:pPr>
    </w:p>
    <w:p>
      <w:pPr>
        <w:ind w:left="680" w:hanging="654"/>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Financial Statements</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8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(Unaudited)</w:t>
            </w:r>
          </w:p>
        </w:tc>
        <w:tc>
          <w:tcPr>
            <w:tcW w:w="1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4320" w:type="dxa"/>
            <w:vAlign w:val="bottom"/>
            <w:tcBorders>
              <w:top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6"/>
                <w:szCs w:val="16"/>
                <w:color w:val="3B46F9"/>
              </w:rPr>
              <w:t>Three months ended September 30, 2026 and 2025</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shd w:val="clear" w:color="auto" w:fill="3B46F9"/>
          </w:tcPr>
          <w:p>
            <w:pPr>
              <w:spacing w:after="0" w:line="20" w:lineRule="exact"/>
              <w:rPr>
                <w:sz w:val="1"/>
                <w:szCs w:val="1"/>
                <w:color w:val="auto"/>
              </w:rPr>
            </w:pPr>
          </w:p>
        </w:tc>
        <w:tc>
          <w:tcPr>
            <w:tcW w:w="500" w:type="dxa"/>
            <w:vAlign w:val="bottom"/>
            <w:shd w:val="clear" w:color="auto" w:fill="3B46F9"/>
          </w:tcPr>
          <w:p>
            <w:pPr>
              <w:spacing w:after="0" w:line="20" w:lineRule="exact"/>
              <w:rPr>
                <w:sz w:val="1"/>
                <w:szCs w:val="1"/>
                <w:color w:val="auto"/>
              </w:rPr>
            </w:pPr>
          </w:p>
        </w:tc>
        <w:tc>
          <w:tcPr>
            <w:tcW w:w="720" w:type="dxa"/>
            <w:vAlign w:val="bottom"/>
            <w:tcBorders>
              <w:right w:val="single" w:sz="8" w:color="3B46F9"/>
            </w:tcBorders>
            <w:shd w:val="clear" w:color="auto" w:fill="3B46F9"/>
          </w:tcPr>
          <w:p>
            <w:pPr>
              <w:spacing w:after="0" w:line="20" w:lineRule="exact"/>
              <w:rPr>
                <w:sz w:val="1"/>
                <w:szCs w:val="1"/>
                <w:color w:val="auto"/>
              </w:rPr>
            </w:pPr>
          </w:p>
        </w:tc>
        <w:tc>
          <w:tcPr>
            <w:tcW w:w="440" w:type="dxa"/>
            <w:vAlign w:val="bottom"/>
            <w:shd w:val="clear" w:color="auto" w:fill="3B46F9"/>
          </w:tcPr>
          <w:p>
            <w:pPr>
              <w:spacing w:after="0" w:line="20" w:lineRule="exact"/>
              <w:rPr>
                <w:sz w:val="1"/>
                <w:szCs w:val="1"/>
                <w:color w:val="auto"/>
              </w:rPr>
            </w:pPr>
          </w:p>
        </w:tc>
        <w:tc>
          <w:tcPr>
            <w:tcW w:w="1040" w:type="dxa"/>
            <w:vAlign w:val="bottom"/>
            <w:shd w:val="clear" w:color="auto" w:fill="3B46F9"/>
          </w:tcPr>
          <w:p>
            <w:pPr>
              <w:spacing w:after="0" w:line="20" w:lineRule="exact"/>
              <w:rPr>
                <w:sz w:val="1"/>
                <w:szCs w:val="1"/>
                <w:color w:val="auto"/>
              </w:rPr>
            </w:pPr>
          </w:p>
        </w:tc>
        <w:tc>
          <w:tcPr>
            <w:tcW w:w="720" w:type="dxa"/>
            <w:vAlign w:val="bottom"/>
            <w:shd w:val="clear" w:color="auto" w:fill="3B46F9"/>
          </w:tcPr>
          <w:p>
            <w:pPr>
              <w:spacing w:after="0" w:line="20" w:lineRule="exact"/>
              <w:rPr>
                <w:sz w:val="1"/>
                <w:szCs w:val="1"/>
                <w:color w:val="auto"/>
              </w:rPr>
            </w:pPr>
          </w:p>
        </w:tc>
        <w:tc>
          <w:tcPr>
            <w:tcW w:w="140" w:type="dxa"/>
            <w:vAlign w:val="bottom"/>
            <w:shd w:val="clear" w:color="auto" w:fill="3B46F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60" w:type="dxa"/>
            <w:vAlign w:val="bottom"/>
          </w:tcPr>
          <w:p>
            <w:pPr>
              <w:spacing w:after="0"/>
              <w:rPr>
                <w:sz w:val="22"/>
                <w:szCs w:val="22"/>
                <w:color w:val="auto"/>
              </w:rPr>
            </w:pPr>
          </w:p>
        </w:tc>
        <w:tc>
          <w:tcPr>
            <w:tcW w:w="8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w:t>
            </w:r>
          </w:p>
        </w:tc>
        <w:tc>
          <w:tcPr>
            <w:tcW w:w="1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5500" w:type="dxa"/>
            <w:vAlign w:val="bottom"/>
            <w:tcBorders>
              <w:top w:val="single" w:sz="8" w:color="0000FF"/>
            </w:tcBorders>
            <w:gridSpan w:val="13"/>
          </w:tcPr>
          <w:p>
            <w:pPr>
              <w:spacing w:after="0" w:line="142" w:lineRule="exact"/>
              <w:rPr>
                <w:sz w:val="20"/>
                <w:szCs w:val="20"/>
                <w:color w:val="auto"/>
              </w:rPr>
            </w:pPr>
            <w:r>
              <w:rPr>
                <w:rFonts w:ascii="Times New Roman" w:cs="Times New Roman" w:eastAsia="Times New Roman" w:hAnsi="Times New Roman"/>
                <w:sz w:val="16"/>
                <w:szCs w:val="16"/>
                <w:color w:val="3B46F9"/>
              </w:rPr>
              <w:t>Three months ended September 30, 2026 and 2025</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shd w:val="clear" w:color="auto" w:fill="3B46F9"/>
          </w:tcPr>
          <w:p>
            <w:pPr>
              <w:spacing w:after="0" w:line="20" w:lineRule="exact"/>
              <w:rPr>
                <w:sz w:val="1"/>
                <w:szCs w:val="1"/>
                <w:color w:val="auto"/>
              </w:rPr>
            </w:pPr>
          </w:p>
        </w:tc>
        <w:tc>
          <w:tcPr>
            <w:tcW w:w="500" w:type="dxa"/>
            <w:vAlign w:val="bottom"/>
            <w:shd w:val="clear" w:color="auto" w:fill="3B46F9"/>
          </w:tcPr>
          <w:p>
            <w:pPr>
              <w:spacing w:after="0" w:line="20" w:lineRule="exact"/>
              <w:rPr>
                <w:sz w:val="1"/>
                <w:szCs w:val="1"/>
                <w:color w:val="auto"/>
              </w:rPr>
            </w:pPr>
          </w:p>
        </w:tc>
        <w:tc>
          <w:tcPr>
            <w:tcW w:w="720" w:type="dxa"/>
            <w:vAlign w:val="bottom"/>
            <w:tcBorders>
              <w:right w:val="single" w:sz="8" w:color="3B46F9"/>
            </w:tcBorders>
            <w:shd w:val="clear" w:color="auto" w:fill="3B46F9"/>
          </w:tcPr>
          <w:p>
            <w:pPr>
              <w:spacing w:after="0" w:line="20" w:lineRule="exact"/>
              <w:rPr>
                <w:sz w:val="1"/>
                <w:szCs w:val="1"/>
                <w:color w:val="auto"/>
              </w:rPr>
            </w:pPr>
          </w:p>
        </w:tc>
        <w:tc>
          <w:tcPr>
            <w:tcW w:w="440" w:type="dxa"/>
            <w:vAlign w:val="bottom"/>
            <w:shd w:val="clear" w:color="auto" w:fill="3B46F9"/>
          </w:tcPr>
          <w:p>
            <w:pPr>
              <w:spacing w:after="0" w:line="20" w:lineRule="exact"/>
              <w:rPr>
                <w:sz w:val="1"/>
                <w:szCs w:val="1"/>
                <w:color w:val="auto"/>
              </w:rPr>
            </w:pPr>
          </w:p>
        </w:tc>
        <w:tc>
          <w:tcPr>
            <w:tcW w:w="1040" w:type="dxa"/>
            <w:vAlign w:val="bottom"/>
            <w:shd w:val="clear" w:color="auto" w:fill="3B46F9"/>
          </w:tcPr>
          <w:p>
            <w:pPr>
              <w:spacing w:after="0" w:line="20" w:lineRule="exact"/>
              <w:rPr>
                <w:sz w:val="1"/>
                <w:szCs w:val="1"/>
                <w:color w:val="auto"/>
              </w:rPr>
            </w:pPr>
          </w:p>
        </w:tc>
        <w:tc>
          <w:tcPr>
            <w:tcW w:w="720" w:type="dxa"/>
            <w:vAlign w:val="bottom"/>
            <w:shd w:val="clear" w:color="auto" w:fill="3B46F9"/>
          </w:tcPr>
          <w:p>
            <w:pPr>
              <w:spacing w:after="0" w:line="20" w:lineRule="exact"/>
              <w:rPr>
                <w:sz w:val="1"/>
                <w:szCs w:val="1"/>
                <w:color w:val="auto"/>
              </w:rPr>
            </w:pPr>
          </w:p>
        </w:tc>
        <w:tc>
          <w:tcPr>
            <w:tcW w:w="140" w:type="dxa"/>
            <w:vAlign w:val="bottom"/>
            <w:shd w:val="clear" w:color="auto" w:fill="3B46F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60" w:type="dxa"/>
            <w:vAlign w:val="bottom"/>
          </w:tcPr>
          <w:p>
            <w:pPr>
              <w:spacing w:after="0"/>
              <w:rPr>
                <w:sz w:val="22"/>
                <w:szCs w:val="22"/>
                <w:color w:val="auto"/>
              </w:rPr>
            </w:pPr>
          </w:p>
        </w:tc>
        <w:tc>
          <w:tcPr>
            <w:tcW w:w="8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1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2800" w:type="dxa"/>
            <w:vAlign w:val="bottom"/>
            <w:tcBorders>
              <w:top w:val="single" w:sz="8" w:color="0000FF"/>
              <w:bottom w:val="single" w:sz="8" w:color="3B46F9"/>
            </w:tcBorders>
            <w:gridSpan w:val="5"/>
          </w:tcPr>
          <w:p>
            <w:pPr>
              <w:spacing w:after="0" w:line="142" w:lineRule="exact"/>
              <w:rPr>
                <w:sz w:val="20"/>
                <w:szCs w:val="20"/>
                <w:color w:val="auto"/>
              </w:rPr>
            </w:pPr>
            <w:r>
              <w:rPr>
                <w:rFonts w:ascii="Times New Roman" w:cs="Times New Roman" w:eastAsia="Times New Roman" w:hAnsi="Times New Roman"/>
                <w:sz w:val="16"/>
                <w:szCs w:val="16"/>
                <w:color w:val="3B46F9"/>
              </w:rPr>
              <w:t>September 30, 2026 and June 30, 2026</w:t>
            </w:r>
          </w:p>
        </w:tc>
        <w:tc>
          <w:tcPr>
            <w:tcW w:w="1040" w:type="dxa"/>
            <w:vAlign w:val="bottom"/>
            <w:tcBorders>
              <w:top w:val="single" w:sz="8" w:color="0000FF"/>
            </w:tcBorders>
            <w:gridSpan w:val="3"/>
          </w:tcPr>
          <w:p>
            <w:pPr>
              <w:spacing w:after="0"/>
              <w:rPr>
                <w:sz w:val="13"/>
                <w:szCs w:val="13"/>
                <w:color w:val="auto"/>
              </w:rPr>
            </w:pPr>
          </w:p>
        </w:tc>
        <w:tc>
          <w:tcPr>
            <w:tcW w:w="52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7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 (Unaudited)</w:t>
            </w: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60" w:type="dxa"/>
            <w:vAlign w:val="bottom"/>
          </w:tcPr>
          <w:p>
            <w:pPr>
              <w:spacing w:after="0"/>
              <w:rPr>
                <w:sz w:val="22"/>
                <w:szCs w:val="22"/>
                <w:color w:val="auto"/>
              </w:rPr>
            </w:pPr>
          </w:p>
        </w:tc>
        <w:tc>
          <w:tcPr>
            <w:tcW w:w="8740" w:type="dxa"/>
            <w:vAlign w:val="bottom"/>
            <w:gridSpan w:val="17"/>
            <w:vMerge w:val="continue"/>
          </w:tcPr>
          <w:p>
            <w:pPr>
              <w:spacing w:after="0"/>
              <w:rPr>
                <w:sz w:val="22"/>
                <w:szCs w:val="22"/>
                <w:color w:val="auto"/>
              </w:rPr>
            </w:pPr>
          </w:p>
        </w:tc>
        <w:tc>
          <w:tcPr>
            <w:tcW w:w="1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4360" w:type="dxa"/>
            <w:vAlign w:val="bottom"/>
            <w:tcBorders>
              <w:top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color w:val="3B46F9"/>
              </w:rPr>
              <w:t>Three months ended September 30, 2026 and 2025</w:t>
            </w:r>
          </w:p>
        </w:tc>
        <w:tc>
          <w:tcPr>
            <w:tcW w:w="20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00" w:type="dxa"/>
            <w:vAlign w:val="bottom"/>
            <w:shd w:val="clear" w:color="auto" w:fill="3B46F9"/>
          </w:tcPr>
          <w:p>
            <w:pPr>
              <w:spacing w:after="0"/>
              <w:rPr>
                <w:sz w:val="2"/>
                <w:szCs w:val="2"/>
                <w:color w:val="auto"/>
              </w:rPr>
            </w:pPr>
          </w:p>
        </w:tc>
        <w:tc>
          <w:tcPr>
            <w:tcW w:w="500" w:type="dxa"/>
            <w:vAlign w:val="bottom"/>
            <w:shd w:val="clear" w:color="auto" w:fill="3B46F9"/>
          </w:tcPr>
          <w:p>
            <w:pPr>
              <w:spacing w:after="0"/>
              <w:rPr>
                <w:sz w:val="2"/>
                <w:szCs w:val="2"/>
                <w:color w:val="auto"/>
              </w:rPr>
            </w:pPr>
          </w:p>
        </w:tc>
        <w:tc>
          <w:tcPr>
            <w:tcW w:w="720" w:type="dxa"/>
            <w:vAlign w:val="bottom"/>
            <w:tcBorders>
              <w:right w:val="single" w:sz="8" w:color="3B46F9"/>
            </w:tcBorders>
            <w:shd w:val="clear" w:color="auto" w:fill="3B46F9"/>
          </w:tcPr>
          <w:p>
            <w:pPr>
              <w:spacing w:after="0"/>
              <w:rPr>
                <w:sz w:val="2"/>
                <w:szCs w:val="2"/>
                <w:color w:val="auto"/>
              </w:rPr>
            </w:pPr>
          </w:p>
        </w:tc>
        <w:tc>
          <w:tcPr>
            <w:tcW w:w="440" w:type="dxa"/>
            <w:vAlign w:val="bottom"/>
            <w:shd w:val="clear" w:color="auto" w:fill="3B46F9"/>
          </w:tcPr>
          <w:p>
            <w:pPr>
              <w:spacing w:after="0"/>
              <w:rPr>
                <w:sz w:val="2"/>
                <w:szCs w:val="2"/>
                <w:color w:val="auto"/>
              </w:rPr>
            </w:pPr>
          </w:p>
        </w:tc>
        <w:tc>
          <w:tcPr>
            <w:tcW w:w="1760" w:type="dxa"/>
            <w:vAlign w:val="bottom"/>
            <w:gridSpan w:val="2"/>
            <w:shd w:val="clear" w:color="auto" w:fill="3B46F9"/>
          </w:tcPr>
          <w:p>
            <w:pPr>
              <w:spacing w:after="0"/>
              <w:rPr>
                <w:sz w:val="2"/>
                <w:szCs w:val="2"/>
                <w:color w:val="auto"/>
              </w:rPr>
            </w:pPr>
          </w:p>
        </w:tc>
        <w:tc>
          <w:tcPr>
            <w:tcW w:w="840" w:type="dxa"/>
            <w:vAlign w:val="bottom"/>
            <w:gridSpan w:val="4"/>
            <w:shd w:val="clear" w:color="auto" w:fill="3B46F9"/>
          </w:tcPr>
          <w:p>
            <w:pPr>
              <w:spacing w:after="0"/>
              <w:rPr>
                <w:sz w:val="2"/>
                <w:szCs w:val="2"/>
                <w:color w:val="auto"/>
              </w:rPr>
            </w:pPr>
          </w:p>
        </w:tc>
        <w:tc>
          <w:tcPr>
            <w:tcW w:w="540" w:type="dxa"/>
            <w:vAlign w:val="bottom"/>
            <w:gridSpan w:val="2"/>
          </w:tcPr>
          <w:p>
            <w:pPr>
              <w:spacing w:after="0"/>
              <w:rPr>
                <w:sz w:val="2"/>
                <w:szCs w:val="2"/>
                <w:color w:val="auto"/>
              </w:rPr>
            </w:pPr>
          </w:p>
        </w:tc>
        <w:tc>
          <w:tcPr>
            <w:tcW w:w="1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Pr>
          <w:p>
            <w:pPr>
              <w:spacing w:after="0"/>
              <w:rPr>
                <w:sz w:val="23"/>
                <w:szCs w:val="23"/>
                <w:color w:val="auto"/>
              </w:rPr>
            </w:pPr>
          </w:p>
        </w:tc>
        <w:tc>
          <w:tcPr>
            <w:tcW w:w="8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4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8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0" w:type="dxa"/>
            <w:vAlign w:val="bottom"/>
          </w:tcPr>
          <w:p>
            <w:pPr>
              <w:spacing w:after="0"/>
              <w:rPr>
                <w:sz w:val="1"/>
                <w:szCs w:val="1"/>
                <w:color w:val="auto"/>
              </w:rPr>
            </w:pPr>
          </w:p>
        </w:tc>
      </w:tr>
      <w:tr>
        <w:trPr>
          <w:trHeight w:val="26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4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380" w:type="dxa"/>
            <w:vAlign w:val="bottom"/>
            <w:gridSpan w:val="7"/>
          </w:tcPr>
          <w:p>
            <w:pPr>
              <w:spacing w:after="0"/>
              <w:rPr>
                <w:sz w:val="22"/>
                <w:szCs w:val="22"/>
                <w:color w:val="auto"/>
              </w:rPr>
            </w:pPr>
          </w:p>
        </w:tc>
        <w:tc>
          <w:tcPr>
            <w:tcW w:w="15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0" w:type="dxa"/>
            <w:vAlign w:val="bottom"/>
          </w:tcPr>
          <w:p>
            <w:pPr>
              <w:spacing w:after="0"/>
              <w:rPr>
                <w:sz w:val="1"/>
                <w:szCs w:val="1"/>
                <w:color w:val="auto"/>
              </w:rPr>
            </w:pPr>
          </w:p>
        </w:tc>
      </w:tr>
      <w:tr>
        <w:trPr>
          <w:trHeight w:val="26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0" w:type="dxa"/>
            <w:vAlign w:val="bottom"/>
          </w:tcPr>
          <w:p>
            <w:pPr>
              <w:spacing w:after="0"/>
              <w:rPr>
                <w:sz w:val="1"/>
                <w:szCs w:val="1"/>
                <w:color w:val="auto"/>
              </w:rPr>
            </w:pPr>
          </w:p>
        </w:tc>
      </w:tr>
      <w:tr>
        <w:trPr>
          <w:trHeight w:val="26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17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980" w:type="dxa"/>
            <w:vAlign w:val="bottom"/>
            <w:gridSpan w:val="13"/>
          </w:tcPr>
          <w:p>
            <w:pPr>
              <w:spacing w:after="0"/>
              <w:rPr>
                <w:sz w:val="22"/>
                <w:szCs w:val="22"/>
                <w:color w:val="auto"/>
              </w:rPr>
            </w:pPr>
          </w:p>
        </w:tc>
        <w:tc>
          <w:tcPr>
            <w:tcW w:w="158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0" w:type="dxa"/>
            <w:vAlign w:val="bottom"/>
          </w:tcPr>
          <w:p>
            <w:pPr>
              <w:spacing w:after="0"/>
              <w:rPr>
                <w:sz w:val="1"/>
                <w:szCs w:val="1"/>
                <w:color w:val="auto"/>
              </w:rPr>
            </w:pPr>
          </w:p>
        </w:tc>
      </w:tr>
      <w:tr>
        <w:trPr>
          <w:trHeight w:val="264"/>
        </w:trPr>
        <w:tc>
          <w:tcPr>
            <w:tcW w:w="66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720" w:type="dxa"/>
            <w:vAlign w:val="bottom"/>
            <w:tcBorders>
              <w:top w:val="single" w:sz="8" w:color="0000FF"/>
            </w:tcBorders>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940" w:type="dxa"/>
            <w:vAlign w:val="bottom"/>
            <w:gridSpan w:val="12"/>
          </w:tcPr>
          <w:p>
            <w:pPr>
              <w:ind w:left="720"/>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158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5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820" w:type="dxa"/>
            <w:vAlign w:val="bottom"/>
            <w:tcBorders>
              <w:top w:val="single" w:sz="8" w:color="0000FF"/>
            </w:tcBorders>
            <w:gridSpan w:val="8"/>
          </w:tcPr>
          <w:p>
            <w:pPr>
              <w:spacing w:after="0"/>
              <w:rPr>
                <w:sz w:val="18"/>
                <w:szCs w:val="18"/>
                <w:color w:val="auto"/>
              </w:rPr>
            </w:pPr>
          </w:p>
        </w:tc>
        <w:tc>
          <w:tcPr>
            <w:tcW w:w="2400" w:type="dxa"/>
            <w:vAlign w:val="bottom"/>
            <w:gridSpan w:val="3"/>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26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6540" w:type="dxa"/>
            <w:vAlign w:val="bottom"/>
            <w:tcBorders>
              <w:top w:val="single" w:sz="8" w:color="0000FF"/>
            </w:tcBorders>
            <w:gridSpan w:val="14"/>
          </w:tcPr>
          <w:p>
            <w:pPr>
              <w:spacing w:after="0"/>
              <w:rPr>
                <w:sz w:val="22"/>
                <w:szCs w:val="22"/>
                <w:color w:val="auto"/>
              </w:rPr>
            </w:pPr>
          </w:p>
        </w:tc>
        <w:tc>
          <w:tcPr>
            <w:tcW w:w="16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63"/>
        </w:trPr>
        <w:tc>
          <w:tcPr>
            <w:tcW w:w="9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Forward-looking statements are statements that do not relate strictly to historical or current facts. You can identify forward-looking statements by words such as “should,” “anticipate,” “estimate,” “approximate,” “expect,” “may,” “will,” “project,” “intend,” “plan,” “believe” and other words of similar meaning and expression in connection with any discussion of future operating or financial performance or events. We have also included forward-looking statements in this Quarterly Report on Form 10-Q concerning, among other things, our strategy, goals, plans and projections regarding our financial position, liquidity and capital resources, results of operations, market position and product development. These statements are based on current estimates that involve inherent risks and uncertainties. Should one or more of these risks or uncertainties materialize, or should the assumptions underlying the forward-looking statements prove incorrect, our actual results could vary materially from our current expectations. There are a number of factors that could cause our actual results to differ from those indicated in the forward-looking statements. They include: uncertainties related to changes in macroeconomic and/or global conditions, including as a result of increased inflation, tariffs, and Russia's invasion of Ukraine and the resulting sanctions on Russia; the conflicts in the Middle East; economic recession; our ability to achieve all anticipated benefits of restructuring initiatives; Commercial Excellence growth initiatives and Operational Excellence initiatives; our foreign operations and international markets, including factors such as currency exchange rates, different regulatory environments, trade barriers, exchange controls, and social and political instability, including the conflicts in Ukraine and the Middle East; changes in the regulatory environment in which we operate, including environmental, health and safety regulations; potential for future goodwill and other intangible asset impairment charges; our ability to protect and defend our intellectual property; continuity of information technology infrastructure; competition; our ability to retain our management and employees; demands on management resources; availability and cost of the raw materials we use to manufacture our products, including tungsten; product liability claims; integrating acquisitions and achieving the expected savings and synergies; global or regional catastrophic events; demand for and market acceptance of our products; business divestitures; energy costs; commodity prices; labor relations; and implementation of environmental remediation matters. We provide additional information about many of the specific risks we face in the “Risk Factors” section of our Annual Report on Form 10-K and in other periodic reports we file from time to time with the Securities and Exchange Commission. We can give no assurance that any goal or plan set forth in our forward-looking statements will be achieved and readers are cautioned not to place undue reliance on such statements, which speak only as of the date made. Except as required by law, we do not intend to release publicly any revisions to forward-looking statements as a result of future events or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KENNAMETAL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4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4"/>
        </w:trPr>
        <w:tc>
          <w:tcPr>
            <w:tcW w:w="2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4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38"/>
        </w:trPr>
        <w:tc>
          <w:tcPr>
            <w:tcW w:w="20" w:type="dxa"/>
            <w:vAlign w:val="bottom"/>
            <w:tcBorders>
              <w:bottom w:val="single" w:sz="8" w:color="auto"/>
            </w:tcBorders>
          </w:tcPr>
          <w:p>
            <w:pPr>
              <w:spacing w:after="0"/>
              <w:rPr>
                <w:sz w:val="20"/>
                <w:szCs w:val="20"/>
                <w:color w:val="auto"/>
              </w:rPr>
            </w:pPr>
          </w:p>
        </w:tc>
        <w:tc>
          <w:tcPr>
            <w:tcW w:w="8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172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bottom w:val="single" w:sz="8" w:color="auto"/>
            </w:tcBorders>
          </w:tcPr>
          <w:p>
            <w:pPr>
              <w:spacing w:after="0"/>
              <w:rPr>
                <w:sz w:val="20"/>
                <w:szCs w:val="20"/>
                <w:color w:val="auto"/>
              </w:rPr>
            </w:pPr>
          </w:p>
        </w:tc>
      </w:tr>
      <w:tr>
        <w:trPr>
          <w:trHeight w:val="223"/>
        </w:trPr>
        <w:tc>
          <w:tcPr>
            <w:tcW w:w="20" w:type="dxa"/>
            <w:vAlign w:val="bottom"/>
            <w:shd w:val="clear" w:color="auto" w:fill="CCEEFF"/>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8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768,193</w:t>
            </w:r>
          </w:p>
        </w:tc>
        <w:tc>
          <w:tcPr>
            <w:tcW w:w="3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497,974</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8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254,622</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343,424</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513,571</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154,550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88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126,814</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113,028</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other charges, net (Note 6)</w:t>
            </w:r>
          </w:p>
        </w:tc>
        <w:tc>
          <w:tcPr>
            <w:tcW w:w="8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5,356</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8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8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2,150</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379,251</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37,559</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11,472</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20" w:type="dxa"/>
            <w:vAlign w:val="bottom"/>
          </w:tcPr>
          <w:p>
            <w:pPr>
              <w:spacing w:after="0"/>
              <w:rPr>
                <w:sz w:val="19"/>
                <w:szCs w:val="19"/>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8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8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11,063</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8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356,716</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33,695</w:t>
            </w:r>
          </w:p>
        </w:tc>
        <w:tc>
          <w:tcPr>
            <w:tcW w:w="20" w:type="dxa"/>
            <w:vAlign w:val="bottom"/>
          </w:tcPr>
          <w:p>
            <w:pPr>
              <w:spacing w:after="0"/>
              <w:rPr>
                <w:sz w:val="19"/>
                <w:szCs w:val="19"/>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8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82,258</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274,458</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24,631</w:t>
            </w:r>
          </w:p>
        </w:tc>
        <w:tc>
          <w:tcPr>
            <w:tcW w:w="20" w:type="dxa"/>
            <w:vAlign w:val="bottom"/>
          </w:tcPr>
          <w:p>
            <w:pPr>
              <w:spacing w:after="0"/>
              <w:rPr>
                <w:sz w:val="19"/>
                <w:szCs w:val="19"/>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8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8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2,873</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attributable to Kennametal</w:t>
            </w: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271,585</w:t>
            </w:r>
          </w:p>
        </w:tc>
        <w:tc>
          <w:tcPr>
            <w:tcW w:w="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23,298</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8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DATA ATTRIBUTABLE TO KENNAMETAL SHAREHOLDERS</w:t>
            </w:r>
          </w:p>
        </w:tc>
        <w:tc>
          <w:tcPr>
            <w:tcW w:w="8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8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3.55</w:t>
            </w:r>
          </w:p>
        </w:tc>
        <w:tc>
          <w:tcPr>
            <w:tcW w:w="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8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auto"/>
            </w:tcBorders>
            <w:shd w:val="clear" w:color="auto" w:fill="CCEEFF"/>
          </w:tcPr>
          <w:p>
            <w:pPr>
              <w:spacing w:after="0"/>
              <w:rPr>
                <w:sz w:val="21"/>
                <w:szCs w:val="21"/>
                <w:color w:val="auto"/>
              </w:rPr>
            </w:pPr>
          </w:p>
        </w:tc>
        <w:tc>
          <w:tcPr>
            <w:tcW w:w="8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8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3.48</w:t>
            </w:r>
          </w:p>
        </w:tc>
        <w:tc>
          <w:tcPr>
            <w:tcW w:w="30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8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84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Basic weighted average shares outstanding</w:t>
            </w:r>
          </w:p>
        </w:tc>
        <w:tc>
          <w:tcPr>
            <w:tcW w:w="8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76,590</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76,128</w:t>
            </w:r>
          </w:p>
        </w:tc>
        <w:tc>
          <w:tcPr>
            <w:tcW w:w="20" w:type="dxa"/>
            <w:vAlign w:val="bottom"/>
            <w:tcBorders>
              <w:bottom w:val="single" w:sz="8" w:color="auto"/>
            </w:tcBorders>
          </w:tcPr>
          <w:p>
            <w:pPr>
              <w:spacing w:after="0"/>
              <w:rPr>
                <w:sz w:val="17"/>
                <w:szCs w:val="17"/>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8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49"/>
        </w:trPr>
        <w:tc>
          <w:tcPr>
            <w:tcW w:w="20" w:type="dxa"/>
            <w:vAlign w:val="bottom"/>
            <w:tcBorders>
              <w:bottom w:val="single" w:sz="8" w:color="auto"/>
            </w:tcBorders>
            <w:shd w:val="clear" w:color="auto" w:fill="CCEEFF"/>
          </w:tcPr>
          <w:p>
            <w:pPr>
              <w:spacing w:after="0"/>
              <w:rPr>
                <w:sz w:val="21"/>
                <w:szCs w:val="21"/>
                <w:color w:val="auto"/>
              </w:rPr>
            </w:pPr>
          </w:p>
        </w:tc>
        <w:tc>
          <w:tcPr>
            <w:tcW w:w="8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8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78,120</w:t>
            </w:r>
          </w:p>
        </w:tc>
        <w:tc>
          <w:tcPr>
            <w:tcW w:w="3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76,829</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8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505"/>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KENNAMETAL INC.</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8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4"/>
        </w:trPr>
        <w:tc>
          <w:tcPr>
            <w:tcW w:w="2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38"/>
        </w:trPr>
        <w:tc>
          <w:tcPr>
            <w:tcW w:w="20" w:type="dxa"/>
            <w:vAlign w:val="bottom"/>
            <w:tcBorders>
              <w:bottom w:val="single" w:sz="8" w:color="auto"/>
            </w:tcBorders>
          </w:tcPr>
          <w:p>
            <w:pPr>
              <w:spacing w:after="0"/>
              <w:rPr>
                <w:sz w:val="20"/>
                <w:szCs w:val="20"/>
                <w:color w:val="auto"/>
              </w:rPr>
            </w:pPr>
          </w:p>
        </w:tc>
        <w:tc>
          <w:tcPr>
            <w:tcW w:w="8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8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bottom w:val="single" w:sz="8" w:color="auto"/>
            </w:tcBorders>
          </w:tcPr>
          <w:p>
            <w:pPr>
              <w:spacing w:after="0"/>
              <w:rPr>
                <w:sz w:val="20"/>
                <w:szCs w:val="20"/>
                <w:color w:val="auto"/>
              </w:rPr>
            </w:pPr>
          </w:p>
        </w:tc>
      </w:tr>
      <w:tr>
        <w:trPr>
          <w:trHeight w:val="223"/>
        </w:trPr>
        <w:tc>
          <w:tcPr>
            <w:tcW w:w="20" w:type="dxa"/>
            <w:vAlign w:val="bottom"/>
            <w:shd w:val="clear" w:color="auto" w:fill="CCEEFF"/>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274,458</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24,631</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gain (loss) on derivatives designated and qualified as cash flow hedges</w:t>
            </w:r>
          </w:p>
        </w:tc>
        <w:tc>
          <w:tcPr>
            <w:tcW w:w="8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Reclassification of unrealized gain on derivatives designated and qualified as cash flow hedges</w:t>
            </w:r>
          </w:p>
        </w:tc>
        <w:tc>
          <w:tcPr>
            <w:tcW w:w="8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Unrecognized net pension and other postretirement benefit plans (loss) gain</w:t>
            </w:r>
          </w:p>
        </w:tc>
        <w:tc>
          <w:tcPr>
            <w:tcW w:w="8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Reclassification of net pension and other postretirement benefit plans loss</w:t>
            </w:r>
          </w:p>
        </w:tc>
        <w:tc>
          <w:tcPr>
            <w:tcW w:w="8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20" w:type="dxa"/>
            <w:vAlign w:val="bottom"/>
          </w:tcPr>
          <w:p>
            <w:pPr>
              <w:spacing w:after="0"/>
              <w:rPr>
                <w:sz w:val="19"/>
                <w:szCs w:val="19"/>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84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8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8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271,351</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24,202</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8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8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auto"/>
            </w:tcBorders>
            <w:shd w:val="clear" w:color="auto" w:fill="CCEEFF"/>
          </w:tcPr>
          <w:p>
            <w:pPr>
              <w:spacing w:after="0"/>
              <w:rPr>
                <w:sz w:val="21"/>
                <w:szCs w:val="21"/>
                <w:color w:val="auto"/>
              </w:rPr>
            </w:pPr>
          </w:p>
        </w:tc>
        <w:tc>
          <w:tcPr>
            <w:tcW w:w="8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Kennametal Shareholders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268,745</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23,493</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8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KENNAMETAL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108585</wp:posOffset>
            </wp:positionV>
            <wp:extent cx="70891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thousands, except per share data)</w:t>
            </w:r>
          </w:p>
        </w:tc>
        <w:tc>
          <w:tcPr>
            <w:tcW w:w="21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September 30, 2026</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6"/>
                <w:szCs w:val="16"/>
                <w:color w:val="auto"/>
              </w:rPr>
              <w:t>June 30, 2026</w:t>
            </w:r>
          </w:p>
        </w:tc>
      </w:tr>
      <w:tr>
        <w:trPr>
          <w:trHeight w:val="21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2"/>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272,758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95,791</w:t>
            </w:r>
          </w:p>
        </w:tc>
      </w:tr>
      <w:tr>
        <w:trPr>
          <w:trHeight w:val="229"/>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less allowance for doubtful accounts of $9,173 and $8,812, respectively</w:t>
            </w:r>
          </w:p>
        </w:tc>
        <w:tc>
          <w:tcPr>
            <w:tcW w:w="10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429,863</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408,438</w:t>
            </w:r>
          </w:p>
        </w:tc>
      </w:tr>
      <w:tr>
        <w:trPr>
          <w:trHeight w:val="230"/>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(Note 9)</w:t>
            </w:r>
          </w:p>
        </w:tc>
        <w:tc>
          <w:tcPr>
            <w:tcW w:w="10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1,615,986</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1,108,450</w:t>
            </w:r>
          </w:p>
        </w:tc>
      </w:tr>
      <w:tr>
        <w:trPr>
          <w:trHeight w:val="229"/>
        </w:trPr>
        <w:tc>
          <w:tcPr>
            <w:tcW w:w="7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0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200,768</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159,092</w:t>
            </w:r>
          </w:p>
        </w:tc>
      </w:tr>
      <w:tr>
        <w:trPr>
          <w:trHeight w:val="223"/>
        </w:trPr>
        <w:tc>
          <w:tcPr>
            <w:tcW w:w="7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10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2,519,375</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1,771,771</w:t>
            </w:r>
          </w:p>
        </w:tc>
      </w:tr>
      <w:tr>
        <w:trPr>
          <w:trHeight w:val="207"/>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2"/>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Land and buildings</w:t>
            </w:r>
          </w:p>
        </w:tc>
        <w:tc>
          <w:tcPr>
            <w:tcW w:w="10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452,718</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439,537</w:t>
            </w:r>
          </w:p>
        </w:tc>
      </w:tr>
      <w:tr>
        <w:trPr>
          <w:trHeight w:val="230"/>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Machinery and equipment</w:t>
            </w:r>
          </w:p>
        </w:tc>
        <w:tc>
          <w:tcPr>
            <w:tcW w:w="10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2,002,312</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2,014,787</w:t>
            </w:r>
          </w:p>
        </w:tc>
      </w:tr>
      <w:tr>
        <w:trPr>
          <w:trHeight w:val="229"/>
        </w:trPr>
        <w:tc>
          <w:tcPr>
            <w:tcW w:w="76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0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(1,634,960)</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(1,610,740)</w:t>
            </w:r>
          </w:p>
        </w:tc>
      </w:tr>
      <w:tr>
        <w:trPr>
          <w:trHeight w:val="223"/>
        </w:trPr>
        <w:tc>
          <w:tcPr>
            <w:tcW w:w="7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0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820,070</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843,584</w:t>
            </w:r>
          </w:p>
        </w:tc>
      </w:tr>
      <w:tr>
        <w:trPr>
          <w:trHeight w:val="20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(Note 17)</w:t>
            </w:r>
          </w:p>
        </w:tc>
        <w:tc>
          <w:tcPr>
            <w:tcW w:w="10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278,273</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279,213</w:t>
            </w:r>
          </w:p>
        </w:tc>
      </w:tr>
      <w:tr>
        <w:trPr>
          <w:trHeight w:val="230"/>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intangible assets, less accumulated amortization of $182,795 and $181,878, respectively (Note 17)</w:t>
            </w:r>
          </w:p>
        </w:tc>
        <w:tc>
          <w:tcPr>
            <w:tcW w:w="10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52,992</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55,886</w:t>
            </w:r>
          </w:p>
        </w:tc>
      </w:tr>
      <w:tr>
        <w:trPr>
          <w:trHeight w:val="229"/>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44,574</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45,803</w:t>
            </w:r>
          </w:p>
        </w:tc>
      </w:tr>
      <w:tr>
        <w:trPr>
          <w:trHeight w:val="230"/>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0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39,894</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41,280</w:t>
            </w:r>
          </w:p>
        </w:tc>
      </w:tr>
      <w:tr>
        <w:trPr>
          <w:trHeight w:val="229"/>
        </w:trPr>
        <w:tc>
          <w:tcPr>
            <w:tcW w:w="7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125,060</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129,215</w:t>
            </w:r>
          </w:p>
        </w:tc>
      </w:tr>
      <w:tr>
        <w:trPr>
          <w:trHeight w:val="223"/>
        </w:trPr>
        <w:tc>
          <w:tcPr>
            <w:tcW w:w="7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assets</w:t>
            </w:r>
          </w:p>
        </w:tc>
        <w:tc>
          <w:tcPr>
            <w:tcW w:w="10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540,793</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551,397</w:t>
            </w:r>
          </w:p>
        </w:tc>
      </w:tr>
      <w:tr>
        <w:trPr>
          <w:trHeight w:val="223"/>
        </w:trPr>
        <w:tc>
          <w:tcPr>
            <w:tcW w:w="7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3,880,238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3,166,752</w:t>
            </w:r>
          </w:p>
        </w:tc>
      </w:tr>
      <w:tr>
        <w:trPr>
          <w:trHeight w:val="20"/>
        </w:trPr>
        <w:tc>
          <w:tcPr>
            <w:tcW w:w="7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2"/>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Revolving and other lines of credit and notes payable (Note 11)</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39,951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32,170</w:t>
            </w:r>
          </w:p>
        </w:tc>
      </w:tr>
      <w:tr>
        <w:trPr>
          <w:trHeight w:val="230"/>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0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11,901</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11,718</w:t>
            </w:r>
          </w:p>
        </w:tc>
      </w:tr>
      <w:tr>
        <w:trPr>
          <w:trHeight w:val="230"/>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0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387,122</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369,841</w:t>
            </w:r>
          </w:p>
        </w:tc>
      </w:tr>
      <w:tr>
        <w:trPr>
          <w:trHeight w:val="229"/>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income taxes</w:t>
            </w:r>
          </w:p>
        </w:tc>
        <w:tc>
          <w:tcPr>
            <w:tcW w:w="10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75,389</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15,967</w:t>
            </w:r>
          </w:p>
        </w:tc>
      </w:tr>
      <w:tr>
        <w:trPr>
          <w:trHeight w:val="230"/>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10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51,571</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67,924</w:t>
            </w:r>
          </w:p>
        </w:tc>
      </w:tr>
      <w:tr>
        <w:trPr>
          <w:trHeight w:val="230"/>
        </w:trPr>
        <w:tc>
          <w:tcPr>
            <w:tcW w:w="7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0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164,906</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179,088</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730,840</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676,708</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less current maturities (Note 10)</w:t>
            </w:r>
          </w:p>
        </w:tc>
        <w:tc>
          <w:tcPr>
            <w:tcW w:w="10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1,094,084</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685,280</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33,173</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34,538</w:t>
            </w: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0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30,829</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31,016</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pension and postretirement benefits</w:t>
            </w:r>
          </w:p>
        </w:tc>
        <w:tc>
          <w:tcPr>
            <w:tcW w:w="10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101,891</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102,049</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income taxes</w:t>
            </w:r>
          </w:p>
        </w:tc>
        <w:tc>
          <w:tcPr>
            <w:tcW w:w="10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822</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r>
      <w:tr>
        <w:trPr>
          <w:trHeight w:val="230"/>
        </w:trPr>
        <w:tc>
          <w:tcPr>
            <w:tcW w:w="7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20,609</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21,146</w:t>
            </w:r>
          </w:p>
        </w:tc>
      </w:tr>
      <w:tr>
        <w:trPr>
          <w:trHeight w:val="223"/>
        </w:trPr>
        <w:tc>
          <w:tcPr>
            <w:tcW w:w="7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0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2,012,248</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1,553,315</w:t>
            </w:r>
          </w:p>
        </w:tc>
      </w:tr>
      <w:tr>
        <w:trPr>
          <w:trHeight w:val="207"/>
        </w:trPr>
        <w:tc>
          <w:tcPr>
            <w:tcW w:w="7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10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r>
      <w:tr>
        <w:trPr>
          <w:trHeight w:val="209"/>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(Note 15)</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Kennametal Shareholders’ Equity:</w:t>
            </w:r>
          </w:p>
        </w:tc>
        <w:tc>
          <w:tcPr>
            <w:tcW w:w="10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no par value; 5,000 shares authorized; none issued</w:t>
            </w:r>
          </w:p>
        </w:tc>
        <w:tc>
          <w:tcPr>
            <w:tcW w:w="10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stock, $1.25 par value; 120,000 shares authorized; 76,839 and 76,213 shares issued, respectively</w:t>
            </w:r>
          </w:p>
        </w:tc>
        <w:tc>
          <w:tcPr>
            <w:tcW w:w="10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96,049</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95,267</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389,316</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390,310</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10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1,739,640</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1,483,297</w:t>
            </w:r>
          </w:p>
        </w:tc>
      </w:tr>
      <w:tr>
        <w:trPr>
          <w:trHeight w:val="229"/>
        </w:trPr>
        <w:tc>
          <w:tcPr>
            <w:tcW w:w="7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(401,870)</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(399,030)</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Kennametal Shareholders’ Equity</w:t>
            </w:r>
          </w:p>
        </w:tc>
        <w:tc>
          <w:tcPr>
            <w:tcW w:w="10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1,823,135</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1,569,844</w:t>
            </w:r>
          </w:p>
        </w:tc>
      </w:tr>
      <w:tr>
        <w:trPr>
          <w:trHeight w:val="230"/>
        </w:trPr>
        <w:tc>
          <w:tcPr>
            <w:tcW w:w="7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0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44,855</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43,593</w:t>
            </w:r>
          </w:p>
        </w:tc>
      </w:tr>
      <w:tr>
        <w:trPr>
          <w:trHeight w:val="223"/>
        </w:trPr>
        <w:tc>
          <w:tcPr>
            <w:tcW w:w="7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10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1,867,990</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1,613,437</w:t>
            </w:r>
          </w:p>
        </w:tc>
      </w:tr>
      <w:tr>
        <w:trPr>
          <w:trHeight w:val="223"/>
        </w:trPr>
        <w:tc>
          <w:tcPr>
            <w:tcW w:w="7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3,880,238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3,166,752</w:t>
            </w:r>
          </w:p>
        </w:tc>
      </w:tr>
      <w:tr>
        <w:trPr>
          <w:trHeight w:val="21"/>
        </w:trPr>
        <w:tc>
          <w:tcPr>
            <w:tcW w:w="7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KENNAMETAL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40" w:type="dxa"/>
            <w:vAlign w:val="bottom"/>
          </w:tcPr>
          <w:p>
            <w:pPr>
              <w:spacing w:after="0"/>
              <w:rPr>
                <w:sz w:val="17"/>
                <w:szCs w:val="17"/>
                <w:color w:val="auto"/>
              </w:rPr>
            </w:pPr>
          </w:p>
        </w:tc>
        <w:tc>
          <w:tcPr>
            <w:tcW w:w="4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September</w:t>
            </w:r>
          </w:p>
        </w:tc>
      </w:tr>
      <w:tr>
        <w:trPr>
          <w:trHeight w:val="229"/>
        </w:trPr>
        <w:tc>
          <w:tcPr>
            <w:tcW w:w="70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c>
          <w:tcPr>
            <w:tcW w:w="940" w:type="dxa"/>
            <w:vAlign w:val="bottom"/>
          </w:tcPr>
          <w:p>
            <w:pPr>
              <w:spacing w:after="0"/>
              <w:rPr>
                <w:sz w:val="19"/>
                <w:szCs w:val="19"/>
                <w:color w:val="auto"/>
              </w:rPr>
            </w:pPr>
          </w:p>
        </w:tc>
      </w:tr>
      <w:tr>
        <w:trPr>
          <w:trHeight w:val="234"/>
        </w:trPr>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9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9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274,458</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24,631</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to cash from operations:</w:t>
            </w:r>
          </w:p>
        </w:tc>
        <w:tc>
          <w:tcPr>
            <w:tcW w:w="19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19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31,656</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32,671</w:t>
            </w:r>
          </w:p>
        </w:tc>
      </w:tr>
      <w:tr>
        <w:trPr>
          <w:trHeight w:val="229"/>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9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2,150</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r>
      <w:tr>
        <w:trPr>
          <w:trHeight w:val="230"/>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9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10,876</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8,239</w:t>
            </w:r>
          </w:p>
        </w:tc>
      </w:tr>
      <w:tr>
        <w:trPr>
          <w:trHeight w:val="229"/>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capitalized information technology costs</w:t>
            </w:r>
          </w:p>
        </w:tc>
        <w:tc>
          <w:tcPr>
            <w:tcW w:w="19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8,371</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w:t>
            </w:r>
          </w:p>
        </w:tc>
      </w:tr>
      <w:tr>
        <w:trPr>
          <w:trHeight w:val="229"/>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and other charges, net (Note 6)</w:t>
            </w:r>
          </w:p>
        </w:tc>
        <w:tc>
          <w:tcPr>
            <w:tcW w:w="19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5,356</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r>
      <w:tr>
        <w:trPr>
          <w:trHeight w:val="230"/>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9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6,273</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certain assets and liabilities:</w:t>
            </w:r>
          </w:p>
        </w:tc>
        <w:tc>
          <w:tcPr>
            <w:tcW w:w="19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19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(22,106)</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w:t>
            </w:r>
          </w:p>
        </w:tc>
      </w:tr>
      <w:tr>
        <w:trPr>
          <w:trHeight w:val="229"/>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9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(515,964)</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(28,027)</w:t>
            </w:r>
          </w:p>
        </w:tc>
      </w:tr>
      <w:tr>
        <w:trPr>
          <w:trHeight w:val="230"/>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19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(51,186)</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(16,707)</w:t>
            </w:r>
          </w:p>
        </w:tc>
      </w:tr>
      <w:tr>
        <w:trPr>
          <w:trHeight w:val="229"/>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9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(13,060)</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(13,547)</w:t>
            </w:r>
          </w:p>
        </w:tc>
      </w:tr>
      <w:tr>
        <w:trPr>
          <w:trHeight w:val="230"/>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income taxes</w:t>
            </w:r>
          </w:p>
        </w:tc>
        <w:tc>
          <w:tcPr>
            <w:tcW w:w="19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57,913</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w:t>
            </w:r>
          </w:p>
        </w:tc>
      </w:tr>
      <w:tr>
        <w:trPr>
          <w:trHeight w:val="229"/>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pension and postretirement benefits</w:t>
            </w:r>
          </w:p>
        </w:tc>
        <w:tc>
          <w:tcPr>
            <w:tcW w:w="19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487</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29"/>
        </w:trPr>
        <w:tc>
          <w:tcPr>
            <w:tcW w:w="7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3,333</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w:t>
            </w:r>
          </w:p>
        </w:tc>
      </w:tr>
      <w:tr>
        <w:trPr>
          <w:trHeight w:val="223"/>
        </w:trPr>
        <w:tc>
          <w:tcPr>
            <w:tcW w:w="7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 (used in) provided by operating activities</w:t>
            </w:r>
          </w:p>
        </w:tc>
        <w:tc>
          <w:tcPr>
            <w:tcW w:w="19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(201,259)</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17,487</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9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(22,982)</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Disposals of property, plant and equipment</w:t>
            </w:r>
          </w:p>
        </w:tc>
        <w:tc>
          <w:tcPr>
            <w:tcW w:w="19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409</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(2,893)</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3"/>
        </w:trPr>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flow used in investing activities</w:t>
            </w:r>
          </w:p>
        </w:tc>
        <w:tc>
          <w:tcPr>
            <w:tcW w:w="19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(13,288)</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(22,706)</w:t>
            </w: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9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notes payable</w:t>
            </w:r>
          </w:p>
        </w:tc>
        <w:tc>
          <w:tcPr>
            <w:tcW w:w="19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28,133</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revolving and other lines of credit</w:t>
            </w:r>
          </w:p>
        </w:tc>
        <w:tc>
          <w:tcPr>
            <w:tcW w:w="19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debt borrowings</w:t>
            </w:r>
          </w:p>
        </w:tc>
        <w:tc>
          <w:tcPr>
            <w:tcW w:w="19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500,000</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debt repayments</w:t>
            </w:r>
          </w:p>
        </w:tc>
        <w:tc>
          <w:tcPr>
            <w:tcW w:w="19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(90,616)</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capital stock</w:t>
            </w:r>
          </w:p>
        </w:tc>
        <w:tc>
          <w:tcPr>
            <w:tcW w:w="19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(10,030)</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effect of employee benefit and stock plans and dividend reinvestment</w:t>
            </w:r>
          </w:p>
        </w:tc>
        <w:tc>
          <w:tcPr>
            <w:tcW w:w="19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(11,051)</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paid to Shareholders</w:t>
            </w:r>
          </w:p>
        </w:tc>
        <w:tc>
          <w:tcPr>
            <w:tcW w:w="19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(15,242)</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(15,136)</w:t>
            </w:r>
          </w:p>
        </w:tc>
      </w:tr>
      <w:tr>
        <w:trPr>
          <w:trHeight w:val="230"/>
        </w:trPr>
        <w:tc>
          <w:tcPr>
            <w:tcW w:w="7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flow provided by (used in) financing activities</w:t>
            </w:r>
          </w:p>
        </w:tc>
        <w:tc>
          <w:tcPr>
            <w:tcW w:w="19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391,110</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(31,075)</w:t>
            </w:r>
          </w:p>
        </w:tc>
      </w:tr>
      <w:tr>
        <w:trPr>
          <w:trHeight w:val="223"/>
        </w:trPr>
        <w:tc>
          <w:tcPr>
            <w:tcW w:w="7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9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404</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9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176,967</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(37,043)</w:t>
            </w:r>
          </w:p>
        </w:tc>
      </w:tr>
      <w:tr>
        <w:trPr>
          <w:trHeight w:val="230"/>
        </w:trPr>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9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95,791</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140,540</w:t>
            </w:r>
          </w:p>
        </w:tc>
      </w:tr>
      <w:tr>
        <w:trPr>
          <w:trHeight w:val="248"/>
        </w:trPr>
        <w:tc>
          <w:tcPr>
            <w:tcW w:w="7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272,758</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103,497</w:t>
            </w:r>
          </w:p>
        </w:tc>
      </w:tr>
      <w:tr>
        <w:trPr>
          <w:trHeight w:val="20"/>
        </w:trPr>
        <w:tc>
          <w:tcPr>
            <w:tcW w:w="70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KENNAMETAL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108585</wp:posOffset>
            </wp:positionV>
            <wp:extent cx="711517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and accompanying notes included in this Quarterly Report on Form 10-Q, which include our accounts and those of our subsidiaries in which we have a controlling interest, should be read in conjunction with the consolidated financial statements and accompanying notes included in our Annual Report on Form 10-K for the fiscal year ended June 30, 2026 (the “2026 Annual Report”). The condensed consolidated balance sheet as of June 30, 2026 was derived from the audited balance sheet included in our 2026 Annual Report. The interim statements are unaudited; however, we believe that all adjustments necessary for a fair statement of the results of the interim periods were made and all adjustments are normal recurring adjustments. The results for the three months ended September 30, 2026 are not necessarily indicative of the results to be expected for a full fiscal year. Unless otherwise specified, any reference to a “year” is to a fiscal year ended June 30. For example, a reference to 2027 is to the fiscal year ending June 30, 2027. When used in this Quarterly Report on Form 10-Q, unless the context requires otherwise, the terms “the Company,” “we,” “our” and “us” refer to Kennametal Inc. and its subsidiaries.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w w:val="88"/>
              </w:rPr>
              <w:t>2.</w:t>
            </w:r>
          </w:p>
        </w:tc>
        <w:tc>
          <w:tcPr>
            <w:tcW w:w="7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SUPPLEMENTAL CASH FLOW DISCLOSURES</w:t>
            </w:r>
          </w:p>
        </w:tc>
        <w:tc>
          <w:tcPr>
            <w:tcW w:w="1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4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3820" w:type="dxa"/>
            <w:vAlign w:val="bottom"/>
            <w:gridSpan w:val="4"/>
          </w:tcPr>
          <w:p>
            <w:pPr>
              <w:jc w:val="center"/>
              <w:ind w:left="1230"/>
              <w:spacing w:after="0"/>
              <w:rPr>
                <w:sz w:val="20"/>
                <w:szCs w:val="20"/>
                <w:color w:val="auto"/>
              </w:rPr>
            </w:pPr>
            <w:r>
              <w:rPr>
                <w:rFonts w:ascii="Times New Roman" w:cs="Times New Roman" w:eastAsia="Times New Roman" w:hAnsi="Times New Roman"/>
                <w:sz w:val="18"/>
                <w:szCs w:val="18"/>
                <w:color w:val="auto"/>
              </w:rPr>
              <w:t>Three Months Ended September</w:t>
            </w:r>
          </w:p>
        </w:tc>
        <w:tc>
          <w:tcPr>
            <w:tcW w:w="0" w:type="dxa"/>
            <w:vAlign w:val="bottom"/>
          </w:tcPr>
          <w:p>
            <w:pPr>
              <w:spacing w:after="0"/>
              <w:rPr>
                <w:sz w:val="1"/>
                <w:szCs w:val="1"/>
                <w:color w:val="auto"/>
              </w:rPr>
            </w:pPr>
          </w:p>
        </w:tc>
      </w:tr>
      <w:tr>
        <w:trPr>
          <w:trHeight w:val="234"/>
        </w:trPr>
        <w:tc>
          <w:tcPr>
            <w:tcW w:w="7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580" w:type="dxa"/>
            <w:vAlign w:val="bottom"/>
          </w:tcPr>
          <w:p>
            <w:pPr>
              <w:spacing w:after="0"/>
              <w:rPr>
                <w:sz w:val="20"/>
                <w:szCs w:val="20"/>
                <w:color w:val="auto"/>
              </w:rPr>
            </w:pPr>
          </w:p>
        </w:tc>
        <w:tc>
          <w:tcPr>
            <w:tcW w:w="8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30,</w:t>
            </w:r>
          </w:p>
        </w:tc>
        <w:tc>
          <w:tcPr>
            <w:tcW w:w="9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auto"/>
            </w:tcBorders>
            <w:gridSpan w:val="2"/>
            <w:vMerge w:val="continue"/>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7,331</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0" w:type="dxa"/>
            <w:vAlign w:val="bottom"/>
          </w:tcPr>
          <w:p>
            <w:pPr>
              <w:spacing w:after="0"/>
              <w:rPr>
                <w:sz w:val="1"/>
                <w:szCs w:val="1"/>
                <w:color w:val="auto"/>
              </w:rPr>
            </w:pPr>
          </w:p>
        </w:tc>
      </w:tr>
      <w:tr>
        <w:trPr>
          <w:trHeight w:val="229"/>
        </w:trPr>
        <w:tc>
          <w:tcPr>
            <w:tcW w:w="140" w:type="dxa"/>
            <w:vAlign w:val="bottom"/>
            <w:shd w:val="clear" w:color="auto" w:fill="CCEEFF"/>
          </w:tcPr>
          <w:p>
            <w:pPr>
              <w:spacing w:after="0"/>
              <w:rPr>
                <w:sz w:val="19"/>
                <w:szCs w:val="19"/>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24,162</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11,994</w:t>
            </w:r>
          </w:p>
        </w:tc>
        <w:tc>
          <w:tcPr>
            <w:tcW w:w="0" w:type="dxa"/>
            <w:vAlign w:val="bottom"/>
          </w:tcPr>
          <w:p>
            <w:pPr>
              <w:spacing w:after="0"/>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information:</w:t>
            </w:r>
          </w:p>
        </w:tc>
        <w:tc>
          <w:tcPr>
            <w:tcW w:w="1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 w:type="dxa"/>
            <w:vAlign w:val="bottom"/>
            <w:tcBorders>
              <w:bottom w:val="single" w:sz="8" w:color="auto"/>
            </w:tcBorders>
            <w:shd w:val="clear" w:color="auto" w:fill="CCEEFF"/>
          </w:tcPr>
          <w:p>
            <w:pPr>
              <w:spacing w:after="0"/>
              <w:rPr>
                <w:sz w:val="19"/>
                <w:szCs w:val="19"/>
                <w:color w:val="auto"/>
              </w:rPr>
            </w:pPr>
          </w:p>
        </w:tc>
        <w:tc>
          <w:tcPr>
            <w:tcW w:w="7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accounts payable related to purchases of property, plant and equipment</w:t>
            </w:r>
          </w:p>
        </w:tc>
        <w:tc>
          <w:tcPr>
            <w:tcW w:w="15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(1,222)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FINANCE PROGRAM</w:t>
      </w:r>
    </w:p>
    <w:p>
      <w:pPr>
        <w:spacing w:after="0" w:line="11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have a supplier finance program managed through two global financial institutions under which we agree to pay the financial institutions the stated amount of confirmed invoices from our participating suppliers on the invoice due date. We, or the global financial institutions, may terminate our agreements at any time upon 30 days written notice. We do not provide any forms of guarantees under these agreements. Supplier participation in the program is solely up to the supplier. We have no economic interest in a supplier’s decision to participate in the program, and their participation has no bearing on our payment terms or amounts due. The payment terms that we have with our suppliers under this program are considered commercially reasonable. As of September 30, 2026 and June 30, 2026, the obligations outstanding that the Company has confirmed as valid to the financial institutions under the program were $92.0 million and $96.8 million, respectively, and were recorded within trade accounts payable.</w:t>
      </w:r>
    </w:p>
    <w:p>
      <w:pPr>
        <w:spacing w:after="0" w:line="324"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MEASUREMENTS</w:t>
      </w:r>
    </w:p>
    <w:p>
      <w:pPr>
        <w:spacing w:after="0" w:line="11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on the sale of an asset or paid to transfer a liability in an orderly transaction between market participants at the measurement date. The fair value hierarchy consists of three levels to prioritize the inputs used in valuations, as defined below:</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11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Level 2: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Inputs that are unobservable.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KENNAMETAL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108585</wp:posOffset>
            </wp:positionV>
            <wp:extent cx="711517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fair values of our financial assets and financial liabilities are categorized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Level 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4140" w:type="dxa"/>
            <w:vAlign w:val="bottom"/>
            <w:tcBorders>
              <w:bottom w:val="single" w:sz="8" w:color="auto"/>
            </w:tcBorders>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Derivatives </w:t>
            </w:r>
            <w:r>
              <w:rPr>
                <w:rFonts w:ascii="Times New Roman" w:cs="Times New Roman" w:eastAsia="Times New Roman" w:hAnsi="Times New Roman"/>
                <w:sz w:val="23"/>
                <w:szCs w:val="23"/>
                <w:color w:val="auto"/>
                <w:vertAlign w:val="superscript"/>
              </w:rPr>
              <w:t>(1)</w:t>
            </w:r>
          </w:p>
        </w:tc>
        <w:tc>
          <w:tcPr>
            <w:tcW w:w="28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980</w:t>
            </w:r>
          </w:p>
        </w:tc>
        <w:tc>
          <w:tcPr>
            <w:tcW w:w="10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48"/>
        </w:trPr>
        <w:tc>
          <w:tcPr>
            <w:tcW w:w="41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88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980</w:t>
            </w:r>
          </w:p>
        </w:tc>
        <w:tc>
          <w:tcPr>
            <w:tcW w:w="10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0"/>
        </w:trPr>
        <w:tc>
          <w:tcPr>
            <w:tcW w:w="4140" w:type="dxa"/>
            <w:vAlign w:val="bottom"/>
            <w:tcBorders>
              <w:top w:val="single" w:sz="8" w:color="CCEEFF"/>
              <w:bottom w:val="single" w:sz="8" w:color="auto"/>
            </w:tcBorders>
          </w:tcPr>
          <w:p>
            <w:pPr>
              <w:spacing w:after="0" w:line="20" w:lineRule="exact"/>
              <w:rPr>
                <w:sz w:val="1"/>
                <w:szCs w:val="1"/>
                <w:color w:val="auto"/>
              </w:rPr>
            </w:pPr>
          </w:p>
        </w:tc>
        <w:tc>
          <w:tcPr>
            <w:tcW w:w="2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1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4140" w:type="dxa"/>
            <w:vAlign w:val="bottom"/>
            <w:tcBorders>
              <w:bottom w:val="single" w:sz="8" w:color="auto"/>
            </w:tcBorders>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Derivatives </w:t>
            </w:r>
            <w:r>
              <w:rPr>
                <w:rFonts w:ascii="Times New Roman" w:cs="Times New Roman" w:eastAsia="Times New Roman" w:hAnsi="Times New Roman"/>
                <w:sz w:val="23"/>
                <w:szCs w:val="23"/>
                <w:color w:val="auto"/>
                <w:vertAlign w:val="superscript"/>
              </w:rPr>
              <w:t>(1)</w:t>
            </w:r>
          </w:p>
        </w:tc>
        <w:tc>
          <w:tcPr>
            <w:tcW w:w="28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10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48"/>
        </w:trPr>
        <w:tc>
          <w:tcPr>
            <w:tcW w:w="41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288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10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0"/>
        </w:trPr>
        <w:tc>
          <w:tcPr>
            <w:tcW w:w="4140" w:type="dxa"/>
            <w:vAlign w:val="bottom"/>
            <w:tcBorders>
              <w:top w:val="single" w:sz="8" w:color="CCEEFF"/>
              <w:bottom w:val="single" w:sz="8" w:color="auto"/>
            </w:tcBorders>
          </w:tcPr>
          <w:p>
            <w:pPr>
              <w:spacing w:after="0" w:line="20" w:lineRule="exact"/>
              <w:rPr>
                <w:sz w:val="1"/>
                <w:szCs w:val="1"/>
                <w:color w:val="auto"/>
              </w:rPr>
            </w:pPr>
          </w:p>
        </w:tc>
        <w:tc>
          <w:tcPr>
            <w:tcW w:w="2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2026, the fair values of our financial assets and financial liabilities are categorized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Level 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4140" w:type="dxa"/>
            <w:vAlign w:val="bottom"/>
            <w:tcBorders>
              <w:bottom w:val="single" w:sz="8" w:color="auto"/>
            </w:tcBorders>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Derivatives </w:t>
            </w:r>
            <w:r>
              <w:rPr>
                <w:rFonts w:ascii="Times New Roman" w:cs="Times New Roman" w:eastAsia="Times New Roman" w:hAnsi="Times New Roman"/>
                <w:sz w:val="23"/>
                <w:szCs w:val="23"/>
                <w:color w:val="auto"/>
                <w:vertAlign w:val="superscript"/>
              </w:rPr>
              <w:t>(1)</w:t>
            </w:r>
          </w:p>
        </w:tc>
        <w:tc>
          <w:tcPr>
            <w:tcW w:w="28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0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8"/>
        </w:trPr>
        <w:tc>
          <w:tcPr>
            <w:tcW w:w="41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88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0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4140" w:type="dxa"/>
            <w:vAlign w:val="bottom"/>
            <w:tcBorders>
              <w:top w:val="single" w:sz="8" w:color="CCEEFF"/>
              <w:bottom w:val="single" w:sz="8" w:color="auto"/>
            </w:tcBorders>
          </w:tcPr>
          <w:p>
            <w:pPr>
              <w:spacing w:after="0" w:line="20" w:lineRule="exact"/>
              <w:rPr>
                <w:sz w:val="1"/>
                <w:szCs w:val="1"/>
                <w:color w:val="auto"/>
              </w:rPr>
            </w:pPr>
          </w:p>
        </w:tc>
        <w:tc>
          <w:tcPr>
            <w:tcW w:w="2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1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4140" w:type="dxa"/>
            <w:vAlign w:val="bottom"/>
            <w:tcBorders>
              <w:bottom w:val="single" w:sz="8" w:color="auto"/>
            </w:tcBorders>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Derivatives </w:t>
            </w:r>
            <w:r>
              <w:rPr>
                <w:rFonts w:ascii="Times New Roman" w:cs="Times New Roman" w:eastAsia="Times New Roman" w:hAnsi="Times New Roman"/>
                <w:sz w:val="23"/>
                <w:szCs w:val="23"/>
                <w:color w:val="auto"/>
                <w:vertAlign w:val="superscript"/>
              </w:rPr>
              <w:t>(1)</w:t>
            </w:r>
          </w:p>
        </w:tc>
        <w:tc>
          <w:tcPr>
            <w:tcW w:w="28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c>
          <w:tcPr>
            <w:tcW w:w="10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48"/>
        </w:trPr>
        <w:tc>
          <w:tcPr>
            <w:tcW w:w="41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288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c>
          <w:tcPr>
            <w:tcW w:w="10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0"/>
        </w:trPr>
        <w:tc>
          <w:tcPr>
            <w:tcW w:w="4140" w:type="dxa"/>
            <w:vAlign w:val="bottom"/>
            <w:tcBorders>
              <w:top w:val="single" w:sz="8" w:color="CCEEFF"/>
              <w:bottom w:val="single" w:sz="8" w:color="auto"/>
            </w:tcBorders>
          </w:tcPr>
          <w:p>
            <w:pPr>
              <w:spacing w:after="0" w:line="20" w:lineRule="exact"/>
              <w:rPr>
                <w:sz w:val="1"/>
                <w:szCs w:val="1"/>
                <w:color w:val="auto"/>
              </w:rPr>
            </w:pPr>
          </w:p>
        </w:tc>
        <w:tc>
          <w:tcPr>
            <w:tcW w:w="2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ind w:left="180" w:hanging="136"/>
        <w:spacing w:after="0"/>
        <w:tabs>
          <w:tab w:leader="none" w:pos="180"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Currency derivatives are valued based on observable market spot and forward rates and are classified within Level 2 of the fair value hierarchy.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changes in classification and transfers between levels in the fair value hierarchy in the current period.</w:t>
      </w:r>
    </w:p>
    <w:p>
      <w:pPr>
        <w:spacing w:after="0" w:line="36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7"/>
          <w:szCs w:val="17"/>
          <w:color w:val="auto"/>
        </w:rPr>
        <w:t>DERIVATIVE INSTRUMENTS AND HEDGING ACTIVITIES</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part of our financial risk management program, we use certain derivative financial instruments. We do not enter into derivative transactions for speculative purposes and, therefore, we do not hold any derivative instruments for trading purposes. We account for derivative instruments as a hedge of the related asset, liability, firm commitment or anticipated transaction, when the derivative is specifically designated and qualifies as a hedge of such items. Our objective in managing foreign exchange exposures with derivative instruments is to reduce volatility in cash flow. We measure hedge effectiveness by assessing the changes in the fair value or expected future cash flows of the hedged item.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derivatives designated and not designated as hedging instruments in the condensed consolidated balance sheets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7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September 30, 2026</w:t>
            </w: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June 30, 2026</w:t>
            </w: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27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 - range forward contracts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 - range forward contracts</w:t>
            </w:r>
          </w:p>
        </w:tc>
        <w:tc>
          <w:tcPr>
            <w:tcW w:w="27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27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27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 - currency forward contracts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4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 - currency forward contracts</w:t>
            </w:r>
          </w:p>
        </w:tc>
        <w:tc>
          <w:tcPr>
            <w:tcW w:w="27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(213)</w:t>
            </w:r>
          </w:p>
        </w:tc>
      </w:tr>
      <w:tr>
        <w:trPr>
          <w:trHeight w:val="223"/>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derivatives not designated as hedging instruments</w:t>
            </w:r>
          </w:p>
        </w:tc>
        <w:tc>
          <w:tcPr>
            <w:tcW w:w="27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689</w:t>
            </w: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(181)</w:t>
            </w:r>
          </w:p>
        </w:tc>
      </w:tr>
      <w:tr>
        <w:trPr>
          <w:trHeight w:val="248"/>
        </w:trPr>
        <w:tc>
          <w:tcPr>
            <w:tcW w:w="4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derivatives</w:t>
            </w:r>
          </w:p>
        </w:tc>
        <w:tc>
          <w:tcPr>
            <w:tcW w:w="2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839</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(181)</w:t>
            </w:r>
          </w:p>
        </w:tc>
      </w:tr>
      <w:tr>
        <w:trPr>
          <w:trHeight w:val="20"/>
        </w:trPr>
        <w:tc>
          <w:tcPr>
            <w:tcW w:w="4800" w:type="dxa"/>
            <w:vAlign w:val="bottom"/>
            <w:tcBorders>
              <w:top w:val="single" w:sz="8" w:color="CCEEFF"/>
              <w:bottom w:val="single" w:sz="8" w:color="auto"/>
            </w:tcBorders>
          </w:tcPr>
          <w:p>
            <w:pPr>
              <w:spacing w:after="0" w:line="20" w:lineRule="exact"/>
              <w:rPr>
                <w:sz w:val="1"/>
                <w:szCs w:val="1"/>
                <w:color w:val="auto"/>
              </w:rPr>
            </w:pPr>
          </w:p>
        </w:tc>
        <w:tc>
          <w:tcPr>
            <w:tcW w:w="27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4800" w:type="dxa"/>
            <w:vAlign w:val="bottom"/>
          </w:tcPr>
          <w:p>
            <w:pPr>
              <w:spacing w:after="0"/>
              <w:rPr>
                <w:sz w:val="24"/>
                <w:szCs w:val="24"/>
                <w:color w:val="auto"/>
              </w:rPr>
            </w:pPr>
          </w:p>
        </w:tc>
        <w:tc>
          <w:tcPr>
            <w:tcW w:w="272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8</w:t>
            </w: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KENNAMETAL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108585</wp:posOffset>
            </wp:positionV>
            <wp:extent cx="711517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Certain currency forward contracts that hedge significant cross-border intercompany loans are considered as other derivatives and therefore do not qualify for hedge accounting. These contracts are recorded at fair value in the condensed consolidated balance sheets, with the offset to other income, net. (Gains) losses related to derivatives not designated as hedging instruments have been recognized as follows:</w:t>
      </w:r>
    </w:p>
    <w:p>
      <w:pPr>
        <w:spacing w:after="0" w:line="108"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8"/>
          <w:szCs w:val="18"/>
          <w:color w:val="auto"/>
        </w:rPr>
        <w:t>Three Months Ended September</w:t>
      </w:r>
    </w:p>
    <w:p>
      <w:pPr>
        <w:spacing w:after="0" w:line="2"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8"/>
          <w:szCs w:val="18"/>
          <w:color w:val="auto"/>
        </w:rPr>
        <w:t>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r>
      <w:tr>
        <w:trPr>
          <w:trHeight w:val="248"/>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440" w:type="dxa"/>
            <w:vAlign w:val="bottom"/>
            <w:tcBorders>
              <w:top w:val="single" w:sz="8" w:color="CCEEFF"/>
              <w:bottom w:val="single" w:sz="8" w:color="auto"/>
            </w:tcBorders>
          </w:tcPr>
          <w:p>
            <w:pPr>
              <w:spacing w:after="0" w:line="20" w:lineRule="exact"/>
              <w:rPr>
                <w:sz w:val="1"/>
                <w:szCs w:val="1"/>
                <w:color w:val="auto"/>
              </w:rPr>
            </w:pPr>
          </w:p>
        </w:tc>
        <w:tc>
          <w:tcPr>
            <w:tcW w:w="3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 HEDGES</w:t>
      </w:r>
    </w:p>
    <w:p>
      <w:pPr>
        <w:spacing w:after="0" w:line="1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Range forward contracts (a transaction where both a put option is purchased and a call option is sold) are designated as cash flow hedges and hedge anticipated cash flows from cross-border intercompany sales of products and services. Gains and losses realized on these contracts are recorded in accumulated other comprehensive loss and are recognized as a component of cost of goods sold when the underlying sale of products or services is recognized into earnings. The notional amount of the contracts translated into U.S. dollars at September 30, 2026 and June 30, 2026 was $13.6 million and zero, respectively. The time value component of the fair value of range forward contracts is excluded from the assessment of hedge effectiveness.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represents gains (losses), net of tax, related to cash flow hedges:</w:t>
            </w: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0"/>
        </w:trPr>
        <w:tc>
          <w:tcPr>
            <w:tcW w:w="7100" w:type="dxa"/>
            <w:vAlign w:val="bottom"/>
          </w:tcPr>
          <w:p>
            <w:pPr>
              <w:spacing w:after="0"/>
              <w:rPr>
                <w:sz w:val="24"/>
                <w:szCs w:val="24"/>
                <w:color w:val="auto"/>
              </w:rPr>
            </w:pPr>
          </w:p>
        </w:tc>
        <w:tc>
          <w:tcPr>
            <w:tcW w:w="4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September 30,</w:t>
            </w:r>
          </w:p>
        </w:tc>
      </w:tr>
      <w:tr>
        <w:trPr>
          <w:trHeight w:val="234"/>
        </w:trPr>
        <w:tc>
          <w:tcPr>
            <w:tcW w:w="7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r>
      <w:tr>
        <w:trPr>
          <w:trHeight w:val="248"/>
        </w:trPr>
        <w:tc>
          <w:tcPr>
            <w:tcW w:w="7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recognized in other comprehensive loss</w:t>
            </w:r>
          </w:p>
        </w:tc>
        <w:tc>
          <w:tcPr>
            <w:tcW w:w="16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71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No portion of the gains or losses recognized in earnings was due to ineffectiveness and no amounts were excluded from our effectiveness testing for the three months ended September 30, 2026 and 2025.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INVESTMENT HEDGES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September 30, 2026, we had certain foreign currency-denominated intercompany loans payable with total aggregate principal amount of ¥324.0 million, designated as net investment hedges to hedge the foreign exchange exposure of our net investment in our China-based subsidiaries. As of June 30, 2026, we had ¥321.4 million foreign currency-denominated intercompany loans payable designated as net investment hedges to hedge the foreign exchange exposure of our net investment in our China-based subsidiaries. Losses of $0.7 million and $0.1 million were recorded as a component of foreign currency translation adjustments in other comprehensive loss for the three months ended September 30, 2026 and 2025,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foreign currency-denominated intercompany loans payable designated as net investment hedges consisted of:</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Notional</w:t>
            </w:r>
          </w:p>
        </w:tc>
        <w:tc>
          <w:tcPr>
            <w:tcW w:w="200" w:type="dxa"/>
            <w:vAlign w:val="bottom"/>
          </w:tcPr>
          <w:p>
            <w:pPr>
              <w:spacing w:after="0"/>
              <w:rPr>
                <w:sz w:val="18"/>
                <w:szCs w:val="18"/>
                <w:color w:val="auto"/>
              </w:rPr>
            </w:pPr>
          </w:p>
        </w:tc>
        <w:tc>
          <w:tcPr>
            <w:tcW w:w="214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Notional</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7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8"/>
              </w:rPr>
              <w:t>(EUR and CNY in</w:t>
            </w:r>
          </w:p>
        </w:tc>
        <w:tc>
          <w:tcPr>
            <w:tcW w:w="200" w:type="dxa"/>
            <w:vAlign w:val="bottom"/>
          </w:tcPr>
          <w:p>
            <w:pPr>
              <w:spacing w:after="0"/>
              <w:rPr>
                <w:sz w:val="15"/>
                <w:szCs w:val="15"/>
                <w:color w:val="auto"/>
              </w:rPr>
            </w:pPr>
          </w:p>
        </w:tc>
        <w:tc>
          <w:tcPr>
            <w:tcW w:w="214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6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Instrument</w:t>
            </w:r>
          </w:p>
        </w:tc>
        <w:tc>
          <w:tcPr>
            <w:tcW w:w="7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center"/>
              <w:ind w:right="110"/>
              <w:spacing w:after="0" w:line="243" w:lineRule="exact"/>
              <w:rPr>
                <w:sz w:val="20"/>
                <w:szCs w:val="20"/>
                <w:color w:val="auto"/>
              </w:rPr>
            </w:pPr>
            <w:r>
              <w:rPr>
                <w:rFonts w:ascii="Times New Roman" w:cs="Times New Roman" w:eastAsia="Times New Roman" w:hAnsi="Times New Roman"/>
                <w:sz w:val="18"/>
                <w:szCs w:val="18"/>
                <w:color w:val="auto"/>
                <w:w w:val="95"/>
              </w:rPr>
              <w:t>thousands)</w:t>
            </w:r>
            <w:r>
              <w:rPr>
                <w:rFonts w:ascii="Times New Roman" w:cs="Times New Roman" w:eastAsia="Times New Roman" w:hAnsi="Times New Roman"/>
                <w:sz w:val="23"/>
                <w:szCs w:val="23"/>
                <w:color w:val="auto"/>
                <w:w w:val="95"/>
                <w:vertAlign w:val="superscript"/>
              </w:rPr>
              <w:t>(2)</w:t>
            </w:r>
          </w:p>
        </w:tc>
        <w:tc>
          <w:tcPr>
            <w:tcW w:w="2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ind w:right="430"/>
              <w:spacing w:after="0" w:line="243" w:lineRule="exact"/>
              <w:rPr>
                <w:sz w:val="20"/>
                <w:szCs w:val="20"/>
                <w:color w:val="auto"/>
              </w:rPr>
            </w:pPr>
            <w:r>
              <w:rPr>
                <w:rFonts w:ascii="Times New Roman" w:cs="Times New Roman" w:eastAsia="Times New Roman" w:hAnsi="Times New Roman"/>
                <w:sz w:val="18"/>
                <w:szCs w:val="18"/>
                <w:color w:val="auto"/>
                <w:w w:val="99"/>
              </w:rPr>
              <w:t>(USD in thousands)</w:t>
            </w:r>
            <w:r>
              <w:rPr>
                <w:rFonts w:ascii="Times New Roman" w:cs="Times New Roman" w:eastAsia="Times New Roman" w:hAnsi="Times New Roman"/>
                <w:sz w:val="23"/>
                <w:szCs w:val="23"/>
                <w:color w:val="auto"/>
                <w:w w:val="99"/>
                <w:vertAlign w:val="superscript"/>
              </w:rPr>
              <w:t>(2)</w:t>
            </w:r>
          </w:p>
        </w:tc>
        <w:tc>
          <w:tcPr>
            <w:tcW w:w="16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Maturity</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currency-denominated intercompany loan payable</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18,494</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2027</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currency-denominated intercompany loan payable</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6,171</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2027</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currency-denominated intercompany loan payable</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13,165</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2027</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currency-denominated intercompany loan payable</w:t>
            </w: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70,337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10,490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August 2027</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principal and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KENNAMETAL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108585</wp:posOffset>
            </wp:positionV>
            <wp:extent cx="711517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6.</w:t>
        <w:tab/>
        <w:t>RESTRUCTURING AND OTHER CHARGES, NET</w:t>
      </w:r>
    </w:p>
    <w:p>
      <w:pPr>
        <w:spacing w:after="0" w:line="1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recorded a net benefit from the reversal of restructuring and related charges of $0.1 million for the three months ended September 30, 2026. Included in this amount were restructuring related charges of $0.1 million included in cost of goods sold.</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Also included in other charges, net for the three months ended September 30, 2026 was an impairment of $5.0 million related to an equity investment and a charge of $0.6 million related to an impairment of property.</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recorded restructuring and related charges of $3.2 million for the three months ended September 30, 2025, which consisted of $3.3 million in Metal Cutting and a reversal of $0.1 million in Infrastructure. Included in this amount were restructuring related charges of $1.6 million included in cost of goods sold.</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September 30, 2026, $5.8 million and $1.5 million of the restructuring accrual was recorded in other current liabilities and other liabilities, respectively, in our condensed consolidated balance sheet. As of June 30, 2026, $7.5 million and $2.0 million of the restructuring accrual was recorded in other current liabilities and other liabilities, respectively. The amounts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6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June 30, 2026</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Expense</w:t>
            </w:r>
          </w:p>
        </w:tc>
        <w:tc>
          <w:tcPr>
            <w:tcW w:w="15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Asset Write-Down</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Translation</w:t>
            </w: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Cash Expenditures</w:t>
            </w:r>
          </w:p>
        </w:tc>
        <w:tc>
          <w:tcPr>
            <w:tcW w:w="17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September 30, 2026</w:t>
            </w:r>
          </w:p>
        </w:tc>
      </w:tr>
      <w:tr>
        <w:trPr>
          <w:trHeight w:val="223"/>
        </w:trPr>
        <w:tc>
          <w:tcPr>
            <w:tcW w:w="1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9,564</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7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70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7,321</w:t>
            </w:r>
          </w:p>
        </w:tc>
      </w:tr>
      <w:tr>
        <w:trPr>
          <w:trHeight w:val="223"/>
        </w:trPr>
        <w:tc>
          <w:tcPr>
            <w:tcW w:w="1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9,564</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7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7,321</w:t>
            </w:r>
          </w:p>
        </w:tc>
      </w:tr>
      <w:tr>
        <w:trPr>
          <w:trHeight w:val="21"/>
        </w:trPr>
        <w:tc>
          <w:tcPr>
            <w:tcW w:w="1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7"/>
          <w:szCs w:val="17"/>
          <w:color w:val="auto"/>
        </w:rPr>
        <w:t>STOCK-BASED COMPENSATION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 Performance Vesting and Time Vesting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performance vesting and time vesting restricted stock units for the three months ended September 30, 2026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8"/>
                <w:szCs w:val="18"/>
                <w:color w:val="auto"/>
              </w:rPr>
            </w:pPr>
          </w:p>
        </w:tc>
        <w:tc>
          <w:tcPr>
            <w:tcW w:w="24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Performance</w:t>
            </w:r>
          </w:p>
        </w:tc>
        <w:tc>
          <w:tcPr>
            <w:tcW w:w="180" w:type="dxa"/>
            <w:vAlign w:val="bottom"/>
          </w:tcPr>
          <w:p>
            <w:pPr>
              <w:spacing w:after="0"/>
              <w:rPr>
                <w:sz w:val="18"/>
                <w:szCs w:val="18"/>
                <w:color w:val="auto"/>
              </w:rPr>
            </w:pPr>
          </w:p>
        </w:tc>
        <w:tc>
          <w:tcPr>
            <w:tcW w:w="18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Performance Vesting</w:t>
            </w:r>
          </w:p>
        </w:tc>
        <w:tc>
          <w:tcPr>
            <w:tcW w:w="14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Time Vesting</w:t>
            </w:r>
          </w:p>
        </w:tc>
        <w:tc>
          <w:tcPr>
            <w:tcW w:w="1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Time Vesting Weighted</w:t>
            </w: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2400" w:type="dxa"/>
            <w:vAlign w:val="bottom"/>
            <w:vMerge w:val="continue"/>
          </w:tcPr>
          <w:p>
            <w:pPr>
              <w:spacing w:after="0"/>
              <w:rPr>
                <w:sz w:val="15"/>
                <w:szCs w:val="15"/>
                <w:color w:val="auto"/>
              </w:rPr>
            </w:pPr>
          </w:p>
        </w:tc>
        <w:tc>
          <w:tcPr>
            <w:tcW w:w="20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Weighted Average Fair</w:t>
            </w:r>
          </w:p>
        </w:tc>
        <w:tc>
          <w:tcPr>
            <w:tcW w:w="1400" w:type="dxa"/>
            <w:vAlign w:val="bottom"/>
            <w:vMerge w:val="continue"/>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4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Vesting Stock Units</w:t>
            </w:r>
          </w:p>
        </w:tc>
        <w:tc>
          <w:tcPr>
            <w:tcW w:w="1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Value</w:t>
            </w:r>
          </w:p>
        </w:tc>
        <w:tc>
          <w:tcPr>
            <w:tcW w:w="1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Stock Units</w:t>
            </w:r>
          </w:p>
        </w:tc>
        <w:tc>
          <w:tcPr>
            <w:tcW w:w="2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Average Fair Value</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June 30, 2026</w:t>
            </w:r>
          </w:p>
        </w:tc>
        <w:tc>
          <w:tcPr>
            <w:tcW w:w="2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644,507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21.66</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1,632,466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303,716</w:t>
            </w:r>
          </w:p>
        </w:tc>
        <w:tc>
          <w:tcPr>
            <w:tcW w:w="180" w:type="dxa"/>
            <w:vAlign w:val="bottom"/>
          </w:tcPr>
          <w:p>
            <w:pPr>
              <w:spacing w:after="0"/>
              <w:rPr>
                <w:sz w:val="19"/>
                <w:szCs w:val="19"/>
                <w:color w:val="auto"/>
              </w:rPr>
            </w:pPr>
          </w:p>
        </w:tc>
        <w:tc>
          <w:tcPr>
            <w:tcW w:w="1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31.22</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594,084</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(343,057)</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25.98</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(558,874)</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metric adjustments, net</w:t>
            </w:r>
          </w:p>
        </w:tc>
        <w:tc>
          <w:tcPr>
            <w:tcW w:w="2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264,367</w:t>
            </w:r>
          </w:p>
        </w:tc>
        <w:tc>
          <w:tcPr>
            <w:tcW w:w="180" w:type="dxa"/>
            <w:vAlign w:val="bottom"/>
          </w:tcPr>
          <w:p>
            <w:pPr>
              <w:spacing w:after="0"/>
              <w:rPr>
                <w:sz w:val="19"/>
                <w:szCs w:val="19"/>
                <w:color w:val="auto"/>
              </w:rPr>
            </w:pPr>
          </w:p>
        </w:tc>
        <w:tc>
          <w:tcPr>
            <w:tcW w:w="1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24.65</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(10,984)</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23.28</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(10,902)</w:t>
            </w: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Unvested, September 30, 2026</w:t>
            </w:r>
          </w:p>
        </w:tc>
        <w:tc>
          <w:tcPr>
            <w:tcW w:w="2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858,549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24.22</w:t>
            </w: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1,656,774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0" w:type="dxa"/>
            <w:vAlign w:val="bottom"/>
          </w:tcPr>
          <w:p>
            <w:pPr>
              <w:spacing w:after="0"/>
              <w:rPr>
                <w:sz w:val="1"/>
                <w:szCs w:val="1"/>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2026 and 2025, compensation expense related to time vesting and performance vesting restricted stock units was $10.2 million and $7.4 million, respectively. Performance vesting stock units were adjusted by 264,367 units during the three months ended September 30, 2026 related to the fiscal 2026 performance year. As of September 30, 2026, the total unrecognized compensation cost related to unvested time vesting and performance vesting restricted stock units was $39.0 million and is expected to be recognized over a weighted average period of 1.9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KENNAMETAL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108585</wp:posOffset>
            </wp:positionV>
            <wp:extent cx="711517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8.  PENSION AND OTHER POSTRETIREMENT BENEFITS</w:t>
            </w:r>
          </w:p>
        </w:tc>
        <w:tc>
          <w:tcPr>
            <w:tcW w:w="1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2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summarizes the components of net periodic pension expense:</w:t>
            </w: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19"/>
        </w:trPr>
        <w:tc>
          <w:tcPr>
            <w:tcW w:w="7760" w:type="dxa"/>
            <w:vAlign w:val="bottom"/>
          </w:tcPr>
          <w:p>
            <w:pPr>
              <w:spacing w:after="0"/>
              <w:rPr>
                <w:sz w:val="24"/>
                <w:szCs w:val="24"/>
                <w:color w:val="auto"/>
              </w:rPr>
            </w:pPr>
          </w:p>
        </w:tc>
        <w:tc>
          <w:tcPr>
            <w:tcW w:w="3480" w:type="dxa"/>
            <w:vAlign w:val="bottom"/>
            <w:gridSpan w:val="4"/>
          </w:tcPr>
          <w:p>
            <w:pPr>
              <w:jc w:val="center"/>
              <w:ind w:left="890"/>
              <w:spacing w:after="0"/>
              <w:rPr>
                <w:sz w:val="20"/>
                <w:szCs w:val="20"/>
                <w:color w:val="auto"/>
              </w:rPr>
            </w:pPr>
            <w:r>
              <w:rPr>
                <w:rFonts w:ascii="Times New Roman" w:cs="Times New Roman" w:eastAsia="Times New Roman" w:hAnsi="Times New Roman"/>
                <w:sz w:val="18"/>
                <w:szCs w:val="18"/>
                <w:color w:val="auto"/>
              </w:rPr>
              <w:t>Three Months Ended September</w:t>
            </w:r>
          </w:p>
        </w:tc>
      </w:tr>
      <w:tr>
        <w:trPr>
          <w:trHeight w:val="229"/>
        </w:trPr>
        <w:tc>
          <w:tcPr>
            <w:tcW w:w="7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0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7"/>
              </w:rPr>
              <w:t>30,</w:t>
            </w:r>
          </w:p>
        </w:tc>
        <w:tc>
          <w:tcPr>
            <w:tcW w:w="940" w:type="dxa"/>
            <w:vAlign w:val="bottom"/>
          </w:tcPr>
          <w:p>
            <w:pPr>
              <w:spacing w:after="0"/>
              <w:rPr>
                <w:sz w:val="19"/>
                <w:szCs w:val="19"/>
                <w:color w:val="auto"/>
              </w:rPr>
            </w:pPr>
          </w:p>
        </w:tc>
      </w:tr>
      <w:tr>
        <w:trPr>
          <w:trHeight w:val="234"/>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8,023</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8,128</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7760" w:type="dxa"/>
            <w:vAlign w:val="bottom"/>
            <w:tcBorders>
              <w:bottom w:val="single" w:sz="8" w:color="6D6D6D"/>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Recognition of actuarial loss</w:t>
            </w:r>
          </w:p>
        </w:tc>
        <w:tc>
          <w:tcPr>
            <w:tcW w:w="1240" w:type="dxa"/>
            <w:vAlign w:val="bottom"/>
            <w:tcBorders>
              <w:bottom w:val="single" w:sz="8" w:color="6D6D6D"/>
            </w:tcBorders>
            <w:shd w:val="clear" w:color="auto" w:fill="CCEEFF"/>
          </w:tcPr>
          <w:p>
            <w:pPr>
              <w:spacing w:after="0"/>
              <w:rPr>
                <w:sz w:val="19"/>
                <w:szCs w:val="19"/>
                <w:color w:val="auto"/>
              </w:rPr>
            </w:pPr>
          </w:p>
        </w:tc>
        <w:tc>
          <w:tcPr>
            <w:tcW w:w="980" w:type="dxa"/>
            <w:vAlign w:val="bottom"/>
            <w:tcBorders>
              <w:bottom w:val="single" w:sz="8" w:color="6D6D6D"/>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2,950</w:t>
            </w:r>
          </w:p>
        </w:tc>
        <w:tc>
          <w:tcPr>
            <w:tcW w:w="320" w:type="dxa"/>
            <w:vAlign w:val="bottom"/>
            <w:tcBorders>
              <w:bottom w:val="single" w:sz="8" w:color="6D6D6D"/>
            </w:tcBorders>
            <w:shd w:val="clear" w:color="auto" w:fill="CCEEFF"/>
          </w:tcPr>
          <w:p>
            <w:pPr>
              <w:spacing w:after="0"/>
              <w:rPr>
                <w:sz w:val="19"/>
                <w:szCs w:val="19"/>
                <w:color w:val="auto"/>
              </w:rPr>
            </w:pPr>
          </w:p>
        </w:tc>
        <w:tc>
          <w:tcPr>
            <w:tcW w:w="94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r>
      <w:tr>
        <w:trPr>
          <w:trHeight w:val="223"/>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periodic pension expense</w:t>
            </w: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2,301</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w:t>
            </w:r>
          </w:p>
        </w:tc>
      </w:tr>
      <w:tr>
        <w:trPr>
          <w:trHeight w:val="21"/>
        </w:trPr>
        <w:tc>
          <w:tcPr>
            <w:tcW w:w="77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76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summarizes the components of net periodic other postretirement benefit cost:</w:t>
            </w: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11"/>
        </w:trPr>
        <w:tc>
          <w:tcPr>
            <w:tcW w:w="7760" w:type="dxa"/>
            <w:vAlign w:val="bottom"/>
          </w:tcPr>
          <w:p>
            <w:pPr>
              <w:spacing w:after="0"/>
              <w:rPr>
                <w:sz w:val="24"/>
                <w:szCs w:val="24"/>
                <w:color w:val="auto"/>
              </w:rPr>
            </w:pPr>
          </w:p>
        </w:tc>
        <w:tc>
          <w:tcPr>
            <w:tcW w:w="3480" w:type="dxa"/>
            <w:vAlign w:val="bottom"/>
            <w:gridSpan w:val="4"/>
          </w:tcPr>
          <w:p>
            <w:pPr>
              <w:jc w:val="center"/>
              <w:ind w:left="890"/>
              <w:spacing w:after="0"/>
              <w:rPr>
                <w:sz w:val="20"/>
                <w:szCs w:val="20"/>
                <w:color w:val="auto"/>
              </w:rPr>
            </w:pPr>
            <w:r>
              <w:rPr>
                <w:rFonts w:ascii="Times New Roman" w:cs="Times New Roman" w:eastAsia="Times New Roman" w:hAnsi="Times New Roman"/>
                <w:sz w:val="18"/>
                <w:szCs w:val="18"/>
                <w:color w:val="auto"/>
              </w:rPr>
              <w:t>Three Months Ended September</w:t>
            </w:r>
          </w:p>
        </w:tc>
      </w:tr>
      <w:tr>
        <w:trPr>
          <w:trHeight w:val="234"/>
        </w:trPr>
        <w:tc>
          <w:tcPr>
            <w:tcW w:w="7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0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7"/>
              </w:rPr>
              <w:t>30,</w:t>
            </w:r>
          </w:p>
        </w:tc>
        <w:tc>
          <w:tcPr>
            <w:tcW w:w="940" w:type="dxa"/>
            <w:vAlign w:val="bottom"/>
          </w:tcPr>
          <w:p>
            <w:pPr>
              <w:spacing w:after="0"/>
              <w:rPr>
                <w:sz w:val="20"/>
                <w:szCs w:val="20"/>
                <w:color w:val="auto"/>
              </w:rPr>
            </w:pPr>
          </w:p>
        </w:tc>
      </w:tr>
      <w:tr>
        <w:trPr>
          <w:trHeight w:val="238"/>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7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Recognition of actuarial loss</w:t>
            </w:r>
          </w:p>
        </w:tc>
        <w:tc>
          <w:tcPr>
            <w:tcW w:w="1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periodic other postretirement benefit cost</w:t>
            </w: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77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service cost component of net periodic pension expense is reported as a component of cost of goods sold and operating expense. All other components of net periodic pension expense and net periodic other postretirement benefit cost are reported as a component of other expense (income), net.</w:t>
      </w:r>
    </w:p>
    <w:p>
      <w:pPr>
        <w:spacing w:after="0" w:line="29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7"/>
          <w:szCs w:val="17"/>
          <w:color w:val="auto"/>
        </w:rPr>
        <w:t>INVENTORIES</w:t>
      </w:r>
    </w:p>
    <w:p>
      <w:pPr>
        <w:spacing w:after="0" w:line="117"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We used the last-in, first-out (LIFO) method of valuing inventories for 29 percent and 34 percent of total inventories at September 30, 2026 and June 30, 2026, respectively. Inventory valuations under the LIFO method are based on an annual determination of quantities and costs as of June 30 of each year; therefore, the interim LIFO valuations are based on our projections of expected year-end inventory levels and costs and are subject to any final year-end LIFO inventory adjustments.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2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64"/>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September 30, 2026</w:t>
            </w: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June 30, 2026</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575,559</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406,605</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 and powder blends</w:t>
            </w:r>
          </w:p>
        </w:tc>
        <w:tc>
          <w:tcPr>
            <w:tcW w:w="234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1,022,442</w:t>
            </w:r>
          </w:p>
        </w:tc>
        <w:tc>
          <w:tcPr>
            <w:tcW w:w="3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783,469</w:t>
            </w:r>
          </w:p>
        </w:tc>
      </w:tr>
      <w:tr>
        <w:trPr>
          <w:trHeight w:val="230"/>
        </w:trPr>
        <w:tc>
          <w:tcPr>
            <w:tcW w:w="4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388,706</w:t>
            </w:r>
          </w:p>
        </w:tc>
        <w:tc>
          <w:tcPr>
            <w:tcW w:w="3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279,816</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at current cost</w:t>
            </w:r>
          </w:p>
        </w:tc>
        <w:tc>
          <w:tcPr>
            <w:tcW w:w="234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1,986,707</w:t>
            </w:r>
          </w:p>
        </w:tc>
        <w:tc>
          <w:tcPr>
            <w:tcW w:w="3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1,469,890</w:t>
            </w:r>
          </w:p>
        </w:tc>
      </w:tr>
      <w:tr>
        <w:trPr>
          <w:trHeight w:val="230"/>
        </w:trPr>
        <w:tc>
          <w:tcPr>
            <w:tcW w:w="4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LIFO valuation</w:t>
            </w:r>
          </w:p>
        </w:tc>
        <w:tc>
          <w:tcPr>
            <w:tcW w:w="2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(370,721)</w:t>
            </w:r>
          </w:p>
        </w:tc>
        <w:tc>
          <w:tcPr>
            <w:tcW w:w="3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(361,440)</w:t>
            </w:r>
          </w:p>
        </w:tc>
      </w:tr>
      <w:tr>
        <w:trPr>
          <w:trHeight w:val="223"/>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1,615,986</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1,108,450</w:t>
            </w: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KENNAMETAL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108585</wp:posOffset>
            </wp:positionV>
            <wp:extent cx="711517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10.  LONG-TERM DEBT</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2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 at:</w:t>
            </w: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4"/>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September 30, 2026</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June 30, 2026</w:t>
            </w:r>
          </w:p>
        </w:tc>
      </w:tr>
      <w:tr>
        <w:trPr>
          <w:trHeight w:val="178"/>
        </w:trPr>
        <w:tc>
          <w:tcPr>
            <w:tcW w:w="78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5.800% Senior Unsecured Notes due fiscal 2036, net of discount of $1.0 million for September 30 and June</w:t>
            </w: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34"/>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30, 2026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298,980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298,954</w:t>
            </w:r>
          </w:p>
        </w:tc>
      </w:tr>
      <w:tr>
        <w:trPr>
          <w:trHeight w:val="184"/>
        </w:trPr>
        <w:tc>
          <w:tcPr>
            <w:tcW w:w="7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2.800% Senior Unsecured Notes due fiscal 2031, net of discount of $0.1 million for September 30 and June</w:t>
            </w: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30, 2026</w:t>
            </w:r>
          </w:p>
        </w:tc>
        <w:tc>
          <w:tcPr>
            <w:tcW w:w="180" w:type="dxa"/>
            <w:vAlign w:val="bottom"/>
          </w:tcPr>
          <w:p>
            <w:pPr>
              <w:spacing w:after="0"/>
              <w:rPr>
                <w:sz w:val="20"/>
                <w:szCs w:val="20"/>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299,919</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299,915</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due fiscal 2030</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4.625% Senior Unsecured Notes due fiscal 2028, net of discount of zero for June 30, 2026</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90,616</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term debt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1,098,899</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689,485</w:t>
            </w:r>
          </w:p>
        </w:tc>
      </w:tr>
      <w:tr>
        <w:trPr>
          <w:trHeight w:val="229"/>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(4,815)</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(4,205)</w:t>
            </w:r>
          </w:p>
        </w:tc>
      </w:tr>
      <w:tr>
        <w:trPr>
          <w:trHeight w:val="248"/>
        </w:trPr>
        <w:tc>
          <w:tcPr>
            <w:tcW w:w="7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1,094,084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685,280</w:t>
            </w:r>
          </w:p>
        </w:tc>
      </w:tr>
      <w:tr>
        <w:trPr>
          <w:trHeight w:val="20"/>
        </w:trPr>
        <w:tc>
          <w:tcPr>
            <w:tcW w:w="7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May 2026, the Company completed refinancing transactions designed to enhance liquidity, extend debt maturities and increase financial flexibility. The Company issued $300.0 million of 5.800% Senior Unsecured Notes due 2036 (the "2036 Notes"). Interest is paid semi-annually on May 28 and November 28 of each year. Net proceeds from the 2036 Notes were used to fund a tender offer for the Company's outstanding 4.625 percent Senior Unsecured Notes due 2028 (the "2028 Notes"). The tender offer resulted in the repurchase of $209.4 million out of the total $300.0 million aggregate principal of the 2028 Notes in fiscal 2026. The 2028 Notes were fully redeemed on July 1, 2026.</w:t>
      </w:r>
    </w:p>
    <w:p>
      <w:pPr>
        <w:spacing w:after="0" w:line="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these transactions, the Company also entered into a new $500.0 million three-year term loan (the "Term Loan") and amended its Credit Agreement (as defined in Note 11) to increase aggregate commitments by $200.0 million. The Company has fully drawn the Term Loan as of September 30, 2026. Borrowings under the Term Loan bear interest at variable rates based on either Term SOFR or an alternate base rate, in each case plus an applicable margin. The term loan matures in fiscal 2030, three years from the date of the initial borrowing.</w:t>
      </w:r>
    </w:p>
    <w:p>
      <w:pPr>
        <w:spacing w:after="0" w:line="7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February 2021, we issued $300.0 million of 2.800 percent Senior Unsecured Notes with a maturity date of March 1, 2031. Interest is paid semi-annually on March 1 and September 1 of each year.</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Fixed rate debt had a fair market value of $551.0 million and $666.7 million at September 30, 2026 and June 30, 2026, respectively. The Level 2 fair value is determined based on the quoted market prices for similar debt instruments as of September 30, 2026 and June 30, 2026, respectively.</w:t>
      </w:r>
    </w:p>
    <w:p>
      <w:pPr>
        <w:spacing w:after="0" w:line="297" w:lineRule="exact"/>
        <w:rPr>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REVOLVING AND OTHER LINES OF CREDIT AND NOTES PAYABLE</w:t>
      </w:r>
    </w:p>
    <w:p>
      <w:pPr>
        <w:spacing w:after="0" w:line="11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During fiscal 2026, we entered into the Seventh Amended and Restated Credit Agreement dated as of November 17, 2025 (the Credit Agreement). The Credit Agreement is a five-year, multi-currency, revolving credit facility, which we use to augment cash from operations and as an additional source of funds. The Credit Agreement allows for borrowings in U.S. dollars, Canadian dollars, euros, pounds sterling and Japanese yen. Interest payable under the Credit Agreement is based upon the type of borrowing under the facility and may be (1) Euro Interbank Offered Rate (EURIBOR), Sterling Overnight Index Average (SONIA), Canadian Overnight Repo Rate Average (CORRA), Tokyo Interbank Offered Rate (TIBOR) and Secured Overnight Financing Rate (SOFR) for any borrowings in euros, pounds sterling, Canadian dollars, yen and U.S. dollars, respectively, plus an applicable margin, (2) the greater of the prime rate or the Federal Funds effective rate plus an applicable margin, or (3) fixed as negotiated by us. The Credit Agreement matures in November 2030.</w:t>
      </w:r>
    </w:p>
    <w:p>
      <w:pPr>
        <w:spacing w:after="0" w:line="8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Credit Agreement requires us to comply with various restrictive and affirmative covenants, including one financial covenant: a maximum leverage ratio where debt, net of domestic cash and sixty percent of the unrestricted cash held outside of the United States, must be less than or equal to 3.75 times trailing twelve months EBITDA, adjusted for certain non-cash expenses.</w:t>
      </w:r>
    </w:p>
    <w:p>
      <w:pPr>
        <w:spacing w:after="0" w:line="6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September 30, 2026, we were in compliance with all the covenants of the Credit Agreement, and there were no borrowings outstanding and $850.0 million of additional availability. There were borrowings outstanding of $20 million as of June 30, 2026.</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KENNAMETAL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108585</wp:posOffset>
            </wp:positionV>
            <wp:extent cx="711517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on other lines of credit and notes payable were $40.0 million and $12.2 million at September 30, 2026 and June 30, 2026, respectively.</w:t>
      </w:r>
    </w:p>
    <w:p>
      <w:pPr>
        <w:spacing w:after="0" w:line="360"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1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operation of our business has exposed us to certain liabilities and compliance costs related to environmental matters. We are involved in various environmental cleanup and remediation activities at certain sites associated with our current or former operations.</w:t>
      </w:r>
    </w:p>
    <w:p>
      <w:pPr>
        <w:spacing w:after="0" w:line="54"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We establish and maintain accruals for estimated liabilities associated with certain environmental matters. At September 30, 2026, the balance of such accruals was $12.3 million, of which $2.8 million was current. At June 30, 2026, the balance was $12.3 million, of which $2.7 million was current.</w:t>
      </w:r>
    </w:p>
    <w:p>
      <w:pPr>
        <w:spacing w:after="0" w:line="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record a loss contingency when the available information indicates it is probable that we have incurred a liability and the amount of the loss is reasonably estimable. The likelihood of a loss with respect to a particular environmental matter is often difficult to predict, and determining a meaningful estimate of the loss or a range of loss may not be practicable based on information available. When a material loss contingency is probable but a reasonable estimate cannot be made, or when a material loss contingency is at least reasonably possible, disclosure is provided. The accruals we have established for estimated environmental liabilities represent our best current estimate of the probable and reasonably estimable costs of addressing identified environmental situations, based on our review of currently available evidence, and taking into consideration our prior experience in remediation and that of other companies, as well as public information released by the United States Environmental Protection Agency (USEPA), other governmental agencies and by the Potentially Responsible Party (PRP) groups in which we are participating. The accrued liabilities for all environmental concerns could change substantially due to factors such as the nature and extent of contamination, changes in remedial requirements, technological changes, discovery of new information, the financial strength of other PRPs, the identification of new PRPs and the involvement of and direction taken by the government or the courts on these matters.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environmental laws, we are subject to the Comprehensive Environmental Response Compensation and Liability Act of 1980 (CERCLA),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which we have been identified by the USEPA or other third party as a PRP with respect to environmental remedial costs at certain Superfund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sites. We have evaluated our claims and estimated liability associated with these sites based upon the best information currently available to us. We believe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environmental accruals are adequate to cover our portion of the environmental remedial costs at the sites where we have been designated a PRP,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these expenses are probable and reasonably estimable.</w:t>
      </w:r>
    </w:p>
    <w:p>
      <w:pPr>
        <w:spacing w:after="0" w:line="342"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11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effective income tax rates for the three months ended September 30, 2026 and 2025 were 23.1 percent and 26.9 percent, respectively. The year-over-year change is primarily due to favorable geographical earnings mix and lower U.S. tax provided on international earnings, partially offset by a benefit recorded in the prior year quarter for a tax rate change enacted in Germany.</w:t>
      </w:r>
    </w:p>
    <w:p>
      <w:pPr>
        <w:spacing w:after="0" w:line="200" w:lineRule="exact"/>
        <w:rPr>
          <w:sz w:val="20"/>
          <w:szCs w:val="20"/>
          <w:color w:val="auto"/>
        </w:rPr>
      </w:pPr>
    </w:p>
    <w:p>
      <w:pPr>
        <w:spacing w:after="0" w:line="21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EARNINGS PER SHARE</w:t>
      </w:r>
    </w:p>
    <w:p>
      <w:pPr>
        <w:spacing w:after="0" w:line="11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using the weighted average number of shares outstanding during the period, while diluted earnings per share is calculated to reflect the potential dilution that would occur related to the issuance of capital stock under stock option grants, performance awards and restricted stock units. The difference between basic and diluted earnings per share relates solely to the effect of capital stock options, performance awards and restricted stock units.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KENNAMETAL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108585</wp:posOffset>
            </wp:positionV>
            <wp:extent cx="711517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computation of diluted shares outstanding for the three months ended September 30, 2026 and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20" w:type="dxa"/>
            <w:vAlign w:val="bottom"/>
          </w:tcPr>
          <w:p>
            <w:pPr>
              <w:spacing w:after="0"/>
              <w:rPr>
                <w:sz w:val="17"/>
                <w:szCs w:val="17"/>
                <w:color w:val="auto"/>
              </w:rPr>
            </w:pP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Three Months Ended September</w:t>
            </w:r>
          </w:p>
        </w:tc>
        <w:tc>
          <w:tcPr>
            <w:tcW w:w="0" w:type="dxa"/>
            <w:vAlign w:val="bottom"/>
          </w:tcPr>
          <w:p>
            <w:pPr>
              <w:spacing w:after="0"/>
              <w:rPr>
                <w:sz w:val="1"/>
                <w:szCs w:val="1"/>
                <w:color w:val="auto"/>
              </w:rPr>
            </w:pPr>
          </w:p>
        </w:tc>
      </w:tr>
      <w:tr>
        <w:trPr>
          <w:trHeight w:val="229"/>
        </w:trPr>
        <w:tc>
          <w:tcPr>
            <w:tcW w:w="8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4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97"/>
              </w:rPr>
              <w:t>30,</w:t>
            </w:r>
          </w:p>
        </w:tc>
        <w:tc>
          <w:tcPr>
            <w:tcW w:w="0" w:type="dxa"/>
            <w:vAlign w:val="bottom"/>
          </w:tcPr>
          <w:p>
            <w:pPr>
              <w:spacing w:after="0"/>
              <w:rPr>
                <w:sz w:val="1"/>
                <w:szCs w:val="1"/>
                <w:color w:val="auto"/>
              </w:rPr>
            </w:pPr>
          </w:p>
        </w:tc>
      </w:tr>
      <w:tr>
        <w:trPr>
          <w:trHeight w:val="234"/>
        </w:trPr>
        <w:tc>
          <w:tcPr>
            <w:tcW w:w="8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2026</w:t>
            </w: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31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during the period</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76,590</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76,128</w:t>
            </w:r>
          </w:p>
        </w:tc>
        <w:tc>
          <w:tcPr>
            <w:tcW w:w="0" w:type="dxa"/>
            <w:vAlign w:val="bottom"/>
          </w:tcPr>
          <w:p>
            <w:pPr>
              <w:spacing w:after="0"/>
              <w:rPr>
                <w:sz w:val="1"/>
                <w:szCs w:val="1"/>
                <w:color w:val="auto"/>
              </w:rPr>
            </w:pPr>
          </w:p>
        </w:tc>
      </w:tr>
      <w:tr>
        <w:trPr>
          <w:trHeight w:val="94"/>
        </w:trPr>
        <w:tc>
          <w:tcPr>
            <w:tcW w:w="8620" w:type="dxa"/>
            <w:vAlign w:val="bottom"/>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13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8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Add: Unexercised stock options and unvested restricted stock units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31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 on which diluted earnings per share is calculated</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78,120</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76,829</w:t>
            </w:r>
          </w:p>
        </w:tc>
        <w:tc>
          <w:tcPr>
            <w:tcW w:w="0" w:type="dxa"/>
            <w:vAlign w:val="bottom"/>
          </w:tcPr>
          <w:p>
            <w:pPr>
              <w:spacing w:after="0"/>
              <w:rPr>
                <w:sz w:val="1"/>
                <w:szCs w:val="1"/>
                <w:color w:val="auto"/>
              </w:rPr>
            </w:pPr>
          </w:p>
        </w:tc>
      </w:tr>
      <w:tr>
        <w:trPr>
          <w:trHeight w:val="114"/>
        </w:trPr>
        <w:tc>
          <w:tcPr>
            <w:tcW w:w="8620" w:type="dxa"/>
            <w:vAlign w:val="bottom"/>
            <w:tcBorders>
              <w:bottom w:val="single" w:sz="8" w:color="auto"/>
            </w:tcBorders>
            <w:shd w:val="clear" w:color="auto" w:fill="CCEEFF"/>
          </w:tcPr>
          <w:p>
            <w:pPr>
              <w:spacing w:after="0"/>
              <w:rPr>
                <w:sz w:val="9"/>
                <w:szCs w:val="9"/>
                <w:color w:val="auto"/>
              </w:rPr>
            </w:pPr>
          </w:p>
        </w:tc>
        <w:tc>
          <w:tcPr>
            <w:tcW w:w="1280" w:type="dxa"/>
            <w:vAlign w:val="bottom"/>
            <w:tcBorders>
              <w:bottom w:val="single" w:sz="8" w:color="auto"/>
            </w:tcBorders>
            <w:vMerge w:val="continue"/>
            <w:shd w:val="clear" w:color="auto" w:fill="CCEEFF"/>
          </w:tcPr>
          <w:p>
            <w:pPr>
              <w:spacing w:after="0"/>
              <w:rPr>
                <w:sz w:val="9"/>
                <w:szCs w:val="9"/>
                <w:color w:val="auto"/>
              </w:rPr>
            </w:pPr>
          </w:p>
        </w:tc>
        <w:tc>
          <w:tcPr>
            <w:tcW w:w="134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620" w:type="dxa"/>
            <w:vAlign w:val="bottom"/>
          </w:tcPr>
          <w:p>
            <w:pPr>
              <w:ind w:left="20"/>
              <w:spacing w:after="0" w:line="158" w:lineRule="exact"/>
              <w:rPr>
                <w:sz w:val="20"/>
                <w:szCs w:val="20"/>
                <w:color w:val="auto"/>
              </w:rPr>
            </w:pPr>
            <w:r>
              <w:rPr>
                <w:rFonts w:ascii="Times New Roman" w:cs="Times New Roman" w:eastAsia="Times New Roman" w:hAnsi="Times New Roman"/>
                <w:sz w:val="18"/>
                <w:szCs w:val="18"/>
                <w:color w:val="auto"/>
              </w:rPr>
              <w:t>Unexercised stock options with an exercise price greater than the average market price and restricted stock units not</w:t>
            </w:r>
          </w:p>
        </w:tc>
        <w:tc>
          <w:tcPr>
            <w:tcW w:w="1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8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included in the computation because they were anti-dilutive</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0"/>
        </w:trPr>
        <w:tc>
          <w:tcPr>
            <w:tcW w:w="8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EQUITY</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 summary of the changes in the carrying amounts of total equity, Kennametal Shareholders’ equity and equity attributable to noncontrolling interests for the three months ended September 30, 2026 and 2025 is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Kennametal Shareholders’ Equity</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7"/>
              </w:rPr>
              <w:t>Non-</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Additional</w:t>
            </w:r>
          </w:p>
        </w:tc>
        <w:tc>
          <w:tcPr>
            <w:tcW w:w="280" w:type="dxa"/>
            <w:vAlign w:val="bottom"/>
          </w:tcPr>
          <w:p>
            <w:pPr>
              <w:spacing w:after="0"/>
              <w:rPr>
                <w:sz w:val="13"/>
                <w:szCs w:val="13"/>
                <w:color w:val="auto"/>
              </w:rPr>
            </w:pPr>
          </w:p>
        </w:tc>
        <w:tc>
          <w:tcPr>
            <w:tcW w:w="11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Retained</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Accumulated other</w:t>
            </w:r>
          </w:p>
        </w:tc>
        <w:tc>
          <w:tcPr>
            <w:tcW w:w="2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rPr>
              <w:t>controlling</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9"/>
              </w:rPr>
              <w:t>Capital stock</w:t>
            </w:r>
          </w:p>
        </w:tc>
        <w:tc>
          <w:tcPr>
            <w:tcW w:w="13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paid-in capital</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earnings</w:t>
            </w:r>
          </w:p>
        </w:tc>
        <w:tc>
          <w:tcPr>
            <w:tcW w:w="14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w w:val="98"/>
              </w:rPr>
              <w:t>comprehensive loss</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interests</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Total equity</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95,267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390,310</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1,483,297</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(399,030)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43,593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1,613,437</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271,585</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2,873</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274,458</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reinvestment</w:t>
            </w:r>
          </w:p>
        </w:tc>
        <w:tc>
          <w:tcPr>
            <w:tcW w:w="1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Capital stock issued under employee</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8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benefit and stock plans</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782</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capital stock</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($0.20 per share)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(15,242)</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(15,242)</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dividends to noncontrolling interests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48"/>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September 30, 2026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96,049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389,316</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1,739,640</w:t>
            </w:r>
          </w:p>
        </w:tc>
        <w:tc>
          <w:tcPr>
            <w:tcW w:w="4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(401,870)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44,855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1,867,990</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KENNAMETAL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108585</wp:posOffset>
            </wp:positionV>
            <wp:extent cx="711517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Kennametal Shareholders’ Equity</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7"/>
              </w:rPr>
              <w:t>Non-</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Additional</w:t>
            </w:r>
          </w:p>
        </w:tc>
        <w:tc>
          <w:tcPr>
            <w:tcW w:w="280" w:type="dxa"/>
            <w:vAlign w:val="bottom"/>
          </w:tcPr>
          <w:p>
            <w:pPr>
              <w:spacing w:after="0"/>
              <w:rPr>
                <w:sz w:val="14"/>
                <w:szCs w:val="14"/>
                <w:color w:val="auto"/>
              </w:rPr>
            </w:pPr>
          </w:p>
        </w:tc>
        <w:tc>
          <w:tcPr>
            <w:tcW w:w="11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Retained</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Accumulated other</w:t>
            </w: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120" w:type="dxa"/>
            <w:vAlign w:val="bottom"/>
          </w:tcPr>
          <w:p>
            <w:pPr>
              <w:spacing w:after="0"/>
              <w:rPr>
                <w:sz w:val="15"/>
                <w:szCs w:val="15"/>
                <w:color w:val="auto"/>
              </w:rPr>
            </w:pPr>
          </w:p>
        </w:tc>
        <w:tc>
          <w:tcPr>
            <w:tcW w:w="11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99"/>
              </w:rPr>
              <w:t>Capital stock</w:t>
            </w:r>
          </w:p>
        </w:tc>
        <w:tc>
          <w:tcPr>
            <w:tcW w:w="2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rPr>
              <w:t>controlling</w:t>
            </w:r>
          </w:p>
        </w:tc>
        <w:tc>
          <w:tcPr>
            <w:tcW w:w="200" w:type="dxa"/>
            <w:vAlign w:val="bottom"/>
          </w:tcPr>
          <w:p>
            <w:pPr>
              <w:spacing w:after="0"/>
              <w:rPr>
                <w:sz w:val="15"/>
                <w:szCs w:val="15"/>
                <w:color w:val="auto"/>
              </w:rPr>
            </w:pPr>
          </w:p>
        </w:tc>
        <w:tc>
          <w:tcPr>
            <w:tcW w:w="10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Total equity</w:t>
            </w:r>
          </w:p>
        </w:tc>
        <w:tc>
          <w:tcPr>
            <w:tcW w:w="0" w:type="dxa"/>
            <w:vAlign w:val="bottom"/>
          </w:tcPr>
          <w:p>
            <w:pPr>
              <w:spacing w:after="0"/>
              <w:rPr>
                <w:sz w:val="1"/>
                <w:szCs w:val="1"/>
                <w:color w:val="auto"/>
              </w:rPr>
            </w:pPr>
          </w:p>
        </w:tc>
      </w:tr>
      <w:tr>
        <w:trPr>
          <w:trHeight w:val="229"/>
        </w:trPr>
        <w:tc>
          <w:tcPr>
            <w:tcW w:w="31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paid-in capital</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earnings</w:t>
            </w: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interests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95,015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373,902</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1,201,755</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(386,693)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40,669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1,324,648</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23,298</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1,333</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24,631</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reinvestment</w:t>
            </w:r>
          </w:p>
        </w:tc>
        <w:tc>
          <w:tcPr>
            <w:tcW w:w="1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81"/>
        </w:trPr>
        <w:tc>
          <w:tcPr>
            <w:tcW w:w="31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Capital stock issued under employee</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80" w:type="dxa"/>
            <w:vAlign w:val="bottom"/>
            <w:shd w:val="clear" w:color="auto" w:fill="CCEEFF"/>
          </w:tcPr>
          <w:p>
            <w:pPr>
              <w:ind w:left="180"/>
              <w:spacing w:after="0" w:line="237" w:lineRule="exact"/>
              <w:rPr>
                <w:sz w:val="20"/>
                <w:szCs w:val="20"/>
                <w:color w:val="auto"/>
              </w:rPr>
            </w:pPr>
            <w:r>
              <w:rPr>
                <w:rFonts w:ascii="Times New Roman" w:cs="Times New Roman" w:eastAsia="Times New Roman" w:hAnsi="Times New Roman"/>
                <w:sz w:val="18"/>
                <w:szCs w:val="18"/>
                <w:color w:val="auto"/>
              </w:rPr>
              <w:t>benefit and stock plans</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683</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1,191</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capital stock</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2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(10,030)</w:t>
            </w:r>
          </w:p>
        </w:tc>
        <w:tc>
          <w:tcPr>
            <w:tcW w:w="0" w:type="dxa"/>
            <w:vAlign w:val="bottom"/>
          </w:tcPr>
          <w:p>
            <w:pPr>
              <w:spacing w:after="0"/>
              <w:rPr>
                <w:sz w:val="1"/>
                <w:szCs w:val="1"/>
                <w:color w:val="auto"/>
              </w:rPr>
            </w:pPr>
          </w:p>
        </w:tc>
      </w:tr>
      <w:tr>
        <w:trPr>
          <w:trHeight w:val="229"/>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($0.20 per share)</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(15,136)</w:t>
            </w: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(15,136)</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equity, September 30, 2025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95,104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365,696</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1,209,917</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(386,497)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41,377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1,325,597</w:t>
            </w:r>
          </w:p>
        </w:tc>
        <w:tc>
          <w:tcPr>
            <w:tcW w:w="0" w:type="dxa"/>
            <w:vAlign w:val="bottom"/>
          </w:tcPr>
          <w:p>
            <w:pPr>
              <w:spacing w:after="0"/>
              <w:rPr>
                <w:sz w:val="1"/>
                <w:szCs w:val="1"/>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60" w:hanging="152"/>
        <w:spacing w:after="0"/>
        <w:tabs>
          <w:tab w:leader="none" w:pos="1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of restricted stock units delivered upon vesting to satisfy tax withholding requirements.</w:t>
      </w:r>
    </w:p>
    <w:p>
      <w:pPr>
        <w:spacing w:after="0" w:line="10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amounts of comprehensive loss attributable to Kennametal Shareholders and noncontrolling interests are disclosed in the condensed consolidated statements of comprehensive income.</w:t>
      </w:r>
    </w:p>
    <w:p>
      <w:pPr>
        <w:spacing w:after="0" w:line="200" w:lineRule="exact"/>
        <w:rPr>
          <w:sz w:val="20"/>
          <w:szCs w:val="20"/>
          <w:color w:val="auto"/>
        </w:rPr>
      </w:pPr>
    </w:p>
    <w:p>
      <w:pPr>
        <w:spacing w:after="0" w:line="20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ACCUMULATED OTHER COMPREHENSIVE LOSS</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components of, and changes in, accumulated other comprehensive loss (AOCL) were as follows, net of tax, for the three months ended September 30, 2026:</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Pension and other</w:t>
            </w:r>
          </w:p>
        </w:tc>
        <w:tc>
          <w:tcPr>
            <w:tcW w:w="120" w:type="dxa"/>
            <w:vAlign w:val="bottom"/>
          </w:tcPr>
          <w:p>
            <w:pPr>
              <w:spacing w:after="0"/>
              <w:rPr>
                <w:sz w:val="18"/>
                <w:szCs w:val="18"/>
                <w:color w:val="auto"/>
              </w:rPr>
            </w:pP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Currency translation</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3"/>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postretirement benefits</w:t>
            </w: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adjustment</w:t>
            </w:r>
          </w:p>
        </w:tc>
        <w:tc>
          <w:tcPr>
            <w:tcW w:w="2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Derivatives</w:t>
            </w: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Attributable to Kennametal:</w:t>
            </w: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2026</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(207,857)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(192,592)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(399,030)</w:t>
            </w:r>
          </w:p>
        </w:tc>
      </w:tr>
      <w:tr>
        <w:trPr>
          <w:trHeight w:val="175"/>
        </w:trPr>
        <w:tc>
          <w:tcPr>
            <w:tcW w:w="3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(loss) income before</w:t>
            </w: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43"/>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reclassifications</w:t>
            </w:r>
          </w:p>
        </w:tc>
        <w:tc>
          <w:tcPr>
            <w:tcW w:w="4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w:t>
            </w:r>
          </w:p>
        </w:tc>
      </w:tr>
      <w:tr>
        <w:trPr>
          <w:trHeight w:val="230"/>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r>
      <w:tr>
        <w:trPr>
          <w:trHeight w:val="223"/>
        </w:trPr>
        <w:tc>
          <w:tcPr>
            <w:tcW w:w="3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4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r>
      <w:tr>
        <w:trPr>
          <w:trHeight w:val="223"/>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AOCL, September 30, 2026</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(205,819)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(197,349)</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(401,870)</w:t>
            </w: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15"/>
        </w:trPr>
        <w:tc>
          <w:tcPr>
            <w:tcW w:w="39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Attributable to noncontrolling interests:</w:t>
            </w:r>
          </w:p>
        </w:tc>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(10,085)</w:t>
            </w:r>
          </w:p>
        </w:tc>
      </w:tr>
      <w:tr>
        <w:trPr>
          <w:trHeight w:val="230"/>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3"/>
        </w:trPr>
        <w:tc>
          <w:tcPr>
            <w:tcW w:w="3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loss</w:t>
            </w:r>
          </w:p>
        </w:tc>
        <w:tc>
          <w:tcPr>
            <w:tcW w:w="4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3"/>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AOCL, September 30, 2026</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(10,352)</w:t>
            </w: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KENNAMETAL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108585</wp:posOffset>
            </wp:positionV>
            <wp:extent cx="711517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and changes in, AOCL were as follows, net of tax, for the three months ended September 30,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Pension and other</w:t>
            </w:r>
          </w:p>
        </w:tc>
        <w:tc>
          <w:tcPr>
            <w:tcW w:w="120" w:type="dxa"/>
            <w:vAlign w:val="bottom"/>
          </w:tcPr>
          <w:p>
            <w:pPr>
              <w:spacing w:after="0"/>
              <w:rPr>
                <w:sz w:val="17"/>
                <w:szCs w:val="17"/>
                <w:color w:val="auto"/>
              </w:rPr>
            </w:pP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Currency translation</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4"/>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postretirement benefits</w:t>
            </w: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adjustment</w:t>
            </w: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Derivatives</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Attributable to Kennametal:</w:t>
            </w: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(223,016)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(165,859)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(386,693)</w:t>
            </w:r>
          </w:p>
        </w:tc>
      </w:tr>
      <w:tr>
        <w:trPr>
          <w:trHeight w:val="184"/>
        </w:trPr>
        <w:tc>
          <w:tcPr>
            <w:tcW w:w="39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4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34"/>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reclassifications</w:t>
            </w:r>
          </w:p>
        </w:tc>
        <w:tc>
          <w:tcPr>
            <w:tcW w:w="46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r>
      <w:tr>
        <w:trPr>
          <w:trHeight w:val="230"/>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w:t>
            </w:r>
          </w:p>
        </w:tc>
      </w:tr>
      <w:tr>
        <w:trPr>
          <w:trHeight w:val="223"/>
        </w:trPr>
        <w:tc>
          <w:tcPr>
            <w:tcW w:w="3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4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3"/>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AOCL, September 30, 2025</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(220,017)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(168,488)</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(386,497)</w:t>
            </w: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16"/>
        </w:trPr>
        <w:tc>
          <w:tcPr>
            <w:tcW w:w="39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Attributable to noncontrolling interests:</w:t>
            </w:r>
          </w:p>
        </w:tc>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2025</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w:t>
            </w:r>
          </w:p>
        </w:tc>
      </w:tr>
      <w:tr>
        <w:trPr>
          <w:trHeight w:val="230"/>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23"/>
        </w:trPr>
        <w:tc>
          <w:tcPr>
            <w:tcW w:w="3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loss</w:t>
            </w:r>
          </w:p>
        </w:tc>
        <w:tc>
          <w:tcPr>
            <w:tcW w:w="4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23"/>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AOCL, September 30, 2025</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(8,469)</w:t>
            </w: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Reclassifications out of AOCL for the three months ended September 30, 2026 and 2025 consisted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9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Three Months Ended</w:t>
            </w:r>
          </w:p>
        </w:tc>
        <w:tc>
          <w:tcPr>
            <w:tcW w:w="2860" w:type="dxa"/>
            <w:vAlign w:val="bottom"/>
          </w:tcPr>
          <w:p>
            <w:pPr>
              <w:spacing w:after="0"/>
              <w:rPr>
                <w:sz w:val="17"/>
                <w:szCs w:val="17"/>
                <w:color w:val="auto"/>
              </w:rPr>
            </w:pPr>
          </w:p>
        </w:tc>
      </w:tr>
      <w:tr>
        <w:trPr>
          <w:trHeight w:val="234"/>
        </w:trPr>
        <w:tc>
          <w:tcPr>
            <w:tcW w:w="4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92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September 30,</w:t>
            </w:r>
          </w:p>
        </w:tc>
        <w:tc>
          <w:tcPr>
            <w:tcW w:w="2860" w:type="dxa"/>
            <w:vAlign w:val="bottom"/>
          </w:tcPr>
          <w:p>
            <w:pPr>
              <w:spacing w:after="0"/>
              <w:rPr>
                <w:sz w:val="20"/>
                <w:szCs w:val="20"/>
                <w:color w:val="auto"/>
              </w:rPr>
            </w:pPr>
          </w:p>
        </w:tc>
      </w:tr>
      <w:tr>
        <w:trPr>
          <w:trHeight w:val="184"/>
        </w:trPr>
        <w:tc>
          <w:tcPr>
            <w:tcW w:w="4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6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Affected line item in the Income</w:t>
            </w:r>
          </w:p>
        </w:tc>
      </w:tr>
      <w:tr>
        <w:trPr>
          <w:trHeight w:val="243"/>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28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Statement</w:t>
            </w: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on cash flow hedges:</w:t>
            </w:r>
          </w:p>
        </w:tc>
        <w:tc>
          <w:tcPr>
            <w:tcW w:w="2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230"/>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exchange contracts</w:t>
            </w:r>
          </w:p>
        </w:tc>
        <w:tc>
          <w:tcPr>
            <w:tcW w:w="2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2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860" w:type="dxa"/>
            <w:vAlign w:val="bottom"/>
          </w:tcPr>
          <w:p>
            <w:pPr>
              <w:spacing w:after="0"/>
              <w:rPr>
                <w:sz w:val="19"/>
                <w:szCs w:val="19"/>
                <w:color w:val="auto"/>
              </w:rPr>
            </w:pPr>
          </w:p>
        </w:tc>
      </w:tr>
      <w:tr>
        <w:trPr>
          <w:trHeight w:val="230"/>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impact</w:t>
            </w:r>
          </w:p>
        </w:tc>
        <w:tc>
          <w:tcPr>
            <w:tcW w:w="2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23"/>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2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860" w:type="dxa"/>
            <w:vAlign w:val="bottom"/>
            <w:tcBorders>
              <w:bottom w:val="single" w:sz="8" w:color="auto"/>
            </w:tcBorders>
          </w:tcPr>
          <w:p>
            <w:pPr>
              <w:spacing w:after="0"/>
              <w:rPr>
                <w:sz w:val="19"/>
                <w:szCs w:val="19"/>
                <w:color w:val="auto"/>
              </w:rPr>
            </w:pPr>
          </w:p>
        </w:tc>
      </w:tr>
      <w:tr>
        <w:trPr>
          <w:trHeight w:val="46"/>
        </w:trPr>
        <w:tc>
          <w:tcPr>
            <w:tcW w:w="430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29"/>
        </w:trPr>
        <w:tc>
          <w:tcPr>
            <w:tcW w:w="43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216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2860" w:type="dxa"/>
            <w:vAlign w:val="bottom"/>
            <w:tcBorders>
              <w:top w:val="single" w:sz="8" w:color="CCEEFF"/>
            </w:tcBorders>
          </w:tcPr>
          <w:p>
            <w:pPr>
              <w:spacing w:after="0"/>
              <w:rPr>
                <w:sz w:val="19"/>
                <w:szCs w:val="19"/>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r>
      <w:tr>
        <w:trPr>
          <w:trHeight w:val="230"/>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Recognition of actuarial losses</w:t>
            </w:r>
          </w:p>
        </w:tc>
        <w:tc>
          <w:tcPr>
            <w:tcW w:w="2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2,979</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2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2,912</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2860" w:type="dxa"/>
            <w:vAlign w:val="bottom"/>
            <w:shd w:val="clear" w:color="auto" w:fill="CCEEFF"/>
          </w:tcPr>
          <w:p>
            <w:pPr>
              <w:spacing w:after="0"/>
              <w:rPr>
                <w:sz w:val="19"/>
                <w:szCs w:val="19"/>
                <w:color w:val="auto"/>
              </w:rPr>
            </w:pPr>
          </w:p>
        </w:tc>
      </w:tr>
      <w:tr>
        <w:trPr>
          <w:trHeight w:val="230"/>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impact</w:t>
            </w:r>
          </w:p>
        </w:tc>
        <w:tc>
          <w:tcPr>
            <w:tcW w:w="2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48"/>
        </w:trPr>
        <w:tc>
          <w:tcPr>
            <w:tcW w:w="4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2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2,192</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2860" w:type="dxa"/>
            <w:vAlign w:val="bottom"/>
            <w:tcBorders>
              <w:bottom w:val="single" w:sz="8" w:color="auto"/>
            </w:tcBorders>
            <w:shd w:val="clear" w:color="auto" w:fill="CCEEFF"/>
          </w:tcPr>
          <w:p>
            <w:pPr>
              <w:spacing w:after="0"/>
              <w:rPr>
                <w:sz w:val="21"/>
                <w:szCs w:val="21"/>
                <w:color w:val="auto"/>
              </w:rPr>
            </w:pPr>
          </w:p>
        </w:tc>
      </w:tr>
      <w:tr>
        <w:trPr>
          <w:trHeight w:val="20"/>
        </w:trPr>
        <w:tc>
          <w:tcPr>
            <w:tcW w:w="430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60" w:type="dxa"/>
            <w:vAlign w:val="bottom"/>
            <w:tcBorders>
              <w:top w:val="single" w:sz="8" w:color="CCEEFF"/>
              <w:bottom w:val="single" w:sz="8" w:color="auto"/>
            </w:tcBorders>
          </w:tcPr>
          <w:p>
            <w:pPr>
              <w:spacing w:after="0" w:line="20" w:lineRule="exact"/>
              <w:rPr>
                <w:sz w:val="1"/>
                <w:szCs w:val="1"/>
                <w:color w:val="auto"/>
              </w:rPr>
            </w:pPr>
          </w:p>
        </w:tc>
      </w:tr>
      <w:tr>
        <w:trPr>
          <w:trHeight w:val="852"/>
        </w:trPr>
        <w:tc>
          <w:tcPr>
            <w:tcW w:w="4300" w:type="dxa"/>
            <w:vAlign w:val="bottom"/>
          </w:tcPr>
          <w:p>
            <w:pPr>
              <w:spacing w:after="0"/>
              <w:rPr>
                <w:sz w:val="24"/>
                <w:szCs w:val="24"/>
                <w:color w:val="auto"/>
              </w:rPr>
            </w:pPr>
          </w:p>
        </w:tc>
        <w:tc>
          <w:tcPr>
            <w:tcW w:w="2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16</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KENNAMETAL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108585</wp:posOffset>
            </wp:positionV>
            <wp:extent cx="711517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amount of income tax allocated to each component of other comprehensive loss for the three months ended September 30, 2026 and 2025 were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Pre-tax</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Tax impact</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97"/>
              </w:rPr>
              <w:t>Net of tax</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Pre-tax</w:t>
            </w:r>
          </w:p>
        </w:tc>
        <w:tc>
          <w:tcPr>
            <w:tcW w:w="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Tax impact</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Net of tax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60" w:type="dxa"/>
            <w:vAlign w:val="bottom"/>
            <w:gridSpan w:val="4"/>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Unrealized gain (loss) on derivatives designated and qualified as cash</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flow hedges</w:t>
            </w:r>
          </w:p>
        </w:tc>
        <w:tc>
          <w:tcPr>
            <w:tcW w:w="13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7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Reclassification of unrealized gain on derivatives designated and</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qualified as cash flow hedges</w:t>
            </w: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20"/>
                <w:szCs w:val="20"/>
                <w:color w:val="auto"/>
              </w:rPr>
            </w:pPr>
          </w:p>
        </w:tc>
        <w:tc>
          <w:tcPr>
            <w:tcW w:w="88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60" w:type="dxa"/>
            <w:vAlign w:val="bottom"/>
            <w:gridSpan w:val="4"/>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Unrecognized net pension and other postretirement benefit plans (loss)</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w:t>
            </w:r>
          </w:p>
        </w:tc>
        <w:tc>
          <w:tcPr>
            <w:tcW w:w="13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(214)</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60" w:type="dxa"/>
            <w:vAlign w:val="bottom"/>
            <w:gridSpan w:val="4"/>
          </w:tcPr>
          <w:p>
            <w:pPr>
              <w:ind w:left="20"/>
              <w:spacing w:after="0" w:line="184" w:lineRule="exact"/>
              <w:rPr>
                <w:sz w:val="20"/>
                <w:szCs w:val="20"/>
                <w:color w:val="auto"/>
              </w:rPr>
            </w:pPr>
            <w:r>
              <w:rPr>
                <w:rFonts w:ascii="Times New Roman" w:cs="Times New Roman" w:eastAsia="Times New Roman" w:hAnsi="Times New Roman"/>
                <w:sz w:val="18"/>
                <w:szCs w:val="18"/>
                <w:color w:val="auto"/>
              </w:rPr>
              <w:t>Reclassification of net pension and other postretirement benefit plans</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w:t>
            </w: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40" w:type="dxa"/>
            <w:vAlign w:val="bottom"/>
          </w:tcPr>
          <w:p>
            <w:pPr>
              <w:spacing w:after="0"/>
              <w:rPr>
                <w:sz w:val="20"/>
                <w:szCs w:val="20"/>
                <w:color w:val="auto"/>
              </w:rPr>
            </w:pPr>
          </w:p>
        </w:tc>
        <w:tc>
          <w:tcPr>
            <w:tcW w:w="88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(533)</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2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(690)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8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17.  GOODWILL AND OTHER INTANGIBLE ASSETS</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 summary of the carrying amount of goodwill attributable to each segment, as well as the changes in such, is as follows: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w w:val="99"/>
              </w:rPr>
              <w:t>Metal Cutting</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Infrastructure</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Total</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goodwill</w:t>
            </w:r>
          </w:p>
        </w:tc>
        <w:tc>
          <w:tcPr>
            <w:tcW w:w="1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456,874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633,211</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1,090,085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(177,661)</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(633,211)</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(810,872)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auto"/>
            </w:tcBorders>
            <w:shd w:val="clear" w:color="auto" w:fill="CCEEFF"/>
          </w:tcPr>
          <w:p>
            <w:pPr>
              <w:spacing w:after="0"/>
              <w:rPr>
                <w:sz w:val="21"/>
                <w:szCs w:val="21"/>
                <w:color w:val="auto"/>
              </w:rPr>
            </w:pPr>
          </w:p>
        </w:tc>
        <w:tc>
          <w:tcPr>
            <w:tcW w:w="3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2026</w:t>
            </w:r>
          </w:p>
        </w:tc>
        <w:tc>
          <w:tcPr>
            <w:tcW w:w="13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279,213</w:t>
            </w:r>
          </w:p>
        </w:tc>
        <w:tc>
          <w:tcPr>
            <w:tcW w:w="1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279,213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4780" w:type="dxa"/>
            <w:vAlign w:val="bottom"/>
            <w:tcBorders>
              <w:top w:val="single" w:sz="8" w:color="CCEEFF"/>
              <w:bottom w:val="single" w:sz="8" w:color="auto"/>
            </w:tcBorders>
            <w:gridSpan w:val="2"/>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Activity for the three months ended September 30, 2026:</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 in gross goodwill due to translation</w:t>
            </w:r>
          </w:p>
        </w:tc>
        <w:tc>
          <w:tcPr>
            <w:tcW w:w="1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w w:val="81"/>
              </w:rPr>
              <w:t>(940)</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Gross goodwill</w:t>
            </w: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455,934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633,211</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3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3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(177,661)</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(633,211)</w:t>
            </w:r>
          </w:p>
        </w:tc>
        <w:tc>
          <w:tcPr>
            <w:tcW w:w="4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(810,872)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1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278,273</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278,273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Borders>
              <w:bottom w:val="single" w:sz="8" w:color="auto"/>
            </w:tcBorders>
            <w:gridSpan w:val="3"/>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our other intangible assets were as follows:</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Estimated</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4"/>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June 30, 2026</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300" w:type="dxa"/>
            <w:vAlign w:val="bottom"/>
            <w:vMerge w:val="continue"/>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4"/>
            <w:vMerge w:val="continue"/>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30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Useful Life</w:t>
            </w:r>
          </w:p>
        </w:tc>
        <w:tc>
          <w:tcPr>
            <w:tcW w:w="1380" w:type="dxa"/>
            <w:vAlign w:val="bottom"/>
            <w:gridSpan w:val="3"/>
          </w:tcPr>
          <w:p>
            <w:pPr>
              <w:jc w:val="right"/>
              <w:spacing w:after="0" w:line="169" w:lineRule="exact"/>
              <w:rPr>
                <w:sz w:val="20"/>
                <w:szCs w:val="20"/>
                <w:color w:val="auto"/>
              </w:rPr>
            </w:pPr>
            <w:r>
              <w:rPr>
                <w:rFonts w:ascii="Times New Roman" w:cs="Times New Roman" w:eastAsia="Times New Roman" w:hAnsi="Times New Roman"/>
                <w:sz w:val="18"/>
                <w:szCs w:val="18"/>
                <w:color w:val="auto"/>
              </w:rPr>
              <w:t>Gross Carrying</w:t>
            </w:r>
          </w:p>
        </w:tc>
        <w:tc>
          <w:tcPr>
            <w:tcW w:w="200" w:type="dxa"/>
            <w:vAlign w:val="bottom"/>
          </w:tcPr>
          <w:p>
            <w:pPr>
              <w:spacing w:after="0"/>
              <w:rPr>
                <w:sz w:val="14"/>
                <w:szCs w:val="14"/>
                <w:color w:val="auto"/>
              </w:rPr>
            </w:pPr>
          </w:p>
        </w:tc>
        <w:tc>
          <w:tcPr>
            <w:tcW w:w="1600" w:type="dxa"/>
            <w:vAlign w:val="bottom"/>
            <w:tcBorders>
              <w:right w:val="single" w:sz="8" w:color="auto"/>
            </w:tcBorders>
            <w:gridSpan w:val="3"/>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Accumulated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tcPr>
          <w:p>
            <w:pPr>
              <w:jc w:val="right"/>
              <w:ind w:right="70"/>
              <w:spacing w:after="0" w:line="169" w:lineRule="exact"/>
              <w:rPr>
                <w:sz w:val="20"/>
                <w:szCs w:val="20"/>
                <w:color w:val="auto"/>
              </w:rPr>
            </w:pPr>
            <w:r>
              <w:rPr>
                <w:rFonts w:ascii="Times New Roman" w:cs="Times New Roman" w:eastAsia="Times New Roman" w:hAnsi="Times New Roman"/>
                <w:sz w:val="18"/>
                <w:szCs w:val="18"/>
                <w:color w:val="auto"/>
                <w:w w:val="97"/>
              </w:rPr>
              <w:t>Gross Carrying</w:t>
            </w:r>
          </w:p>
        </w:tc>
        <w:tc>
          <w:tcPr>
            <w:tcW w:w="280" w:type="dxa"/>
            <w:vAlign w:val="bottom"/>
          </w:tcPr>
          <w:p>
            <w:pPr>
              <w:spacing w:after="0"/>
              <w:rPr>
                <w:sz w:val="14"/>
                <w:szCs w:val="14"/>
                <w:color w:val="auto"/>
              </w:rPr>
            </w:pPr>
          </w:p>
        </w:tc>
        <w:tc>
          <w:tcPr>
            <w:tcW w:w="1400" w:type="dxa"/>
            <w:vAlign w:val="bottom"/>
            <w:gridSpan w:val="3"/>
          </w:tcPr>
          <w:p>
            <w:pPr>
              <w:jc w:val="right"/>
              <w:ind w:right="170"/>
              <w:spacing w:after="0" w:line="169" w:lineRule="exact"/>
              <w:rPr>
                <w:sz w:val="20"/>
                <w:szCs w:val="20"/>
                <w:color w:val="auto"/>
              </w:rPr>
            </w:pPr>
            <w:r>
              <w:rPr>
                <w:rFonts w:ascii="Times New Roman" w:cs="Times New Roman" w:eastAsia="Times New Roman" w:hAnsi="Times New Roman"/>
                <w:sz w:val="18"/>
                <w:szCs w:val="18"/>
                <w:color w:val="auto"/>
              </w:rPr>
              <w:t>Accumulated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(in years)</w:t>
            </w: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right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2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Technology-based and other</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 to 20</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25,668</w:t>
            </w:r>
          </w:p>
        </w:tc>
        <w:tc>
          <w:tcPr>
            <w:tcW w:w="7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(22,539)</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27,800</w:t>
            </w:r>
          </w:p>
        </w:tc>
        <w:tc>
          <w:tcPr>
            <w:tcW w:w="2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Customer-related</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 to 21</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159,984</w:t>
            </w:r>
          </w:p>
        </w:tc>
        <w:tc>
          <w:tcPr>
            <w:tcW w:w="780" w:type="dxa"/>
            <w:vAlign w:val="bottom"/>
          </w:tcPr>
          <w:p>
            <w:pPr>
              <w:spacing w:after="0"/>
              <w:rPr>
                <w:sz w:val="19"/>
                <w:szCs w:val="19"/>
                <w:color w:val="auto"/>
              </w:rPr>
            </w:pPr>
          </w:p>
        </w:tc>
        <w:tc>
          <w:tcPr>
            <w:tcW w:w="8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(118,889)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159,836</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Unpatented technology</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 to 30</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26,636</w:t>
            </w: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(26,222)</w:t>
            </w: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26,586</w:t>
            </w: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Trademarks</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 to 20</w:t>
            </w:r>
          </w:p>
        </w:tc>
        <w:tc>
          <w:tcPr>
            <w:tcW w:w="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23,499</w:t>
            </w: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(15,145)</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23,542</w:t>
            </w:r>
          </w:p>
        </w:tc>
        <w:tc>
          <w:tcPr>
            <w:tcW w:w="2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auto"/>
            </w:tcBorders>
            <w:shd w:val="clear" w:color="auto" w:fill="CCEEFF"/>
          </w:tcPr>
          <w:p>
            <w:pPr>
              <w:spacing w:after="0"/>
              <w:rPr>
                <w:sz w:val="21"/>
                <w:szCs w:val="21"/>
                <w:color w:val="auto"/>
              </w:rPr>
            </w:pPr>
          </w:p>
        </w:tc>
        <w:tc>
          <w:tcPr>
            <w:tcW w:w="3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235,787</w:t>
            </w:r>
          </w:p>
        </w:tc>
        <w:tc>
          <w:tcPr>
            <w:tcW w:w="78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(182,795)</w:t>
            </w:r>
          </w:p>
        </w:tc>
        <w:tc>
          <w:tcPr>
            <w:tcW w:w="2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237,764</w:t>
            </w:r>
          </w:p>
        </w:tc>
        <w:tc>
          <w:tcPr>
            <w:tcW w:w="280" w:type="dxa"/>
            <w:vAlign w:val="bottom"/>
            <w:tcBorders>
              <w:bottom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(181,878)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34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KENNAMETAL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108585</wp:posOffset>
            </wp:positionV>
            <wp:extent cx="711517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AND CONTINGENCIES</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February 2025, MachiningCloud, Inc. filed a lawsuit against the Company in the Superior Court of the State of California alleging breach of a contract and other matters. The Company removed the case to federal court and asserted counterclaims against MachiningCloud, Inc. MachiningCloud, Inc. initially sought damages in excess of $330 million. During the course of the litigation, certain of MachiningCloud's claims have been narrowed and the damages sought are significantly lower than originally asserted. The Company intends to vigorously defend the action and pursue its counterclaims. At this stage of the litigation, no determination can be made with regard to the outcome of the litigation, including the probability of an unfavorable outcome.</w:t>
      </w:r>
    </w:p>
    <w:p>
      <w:pPr>
        <w:spacing w:after="0" w:line="200" w:lineRule="exact"/>
        <w:rPr>
          <w:sz w:val="20"/>
          <w:szCs w:val="20"/>
          <w:color w:val="auto"/>
        </w:rPr>
      </w:pPr>
    </w:p>
    <w:p>
      <w:pPr>
        <w:spacing w:after="0" w:line="22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color w:val="auto"/>
        </w:rPr>
        <w:t>SEGMENT DATA</w:t>
      </w:r>
    </w:p>
    <w:p>
      <w:pPr>
        <w:spacing w:after="0" w:line="1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operate in two reportable segments consisting of Metal Cutting and Infrastructure. Our reportable operating segments have been determined in accordance with our internal management structure, which is organized based on operating activities, the manner in which we organize segments for allocating resources, making operating decisions and assessing performance and the availability of separate financial results. We do not allocate certain corporate expenses related to executive retirement plans, our Board of Directors, strategic initiatives, and certain other costs and report them in Corporate. Our reportable operating segments do not represent the aggregation of two or more operating segments.</w:t>
      </w:r>
    </w:p>
    <w:p>
      <w:pPr>
        <w:spacing w:after="0" w:line="73"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METAL CUTTING </w:t>
      </w:r>
      <w:r>
        <w:rPr>
          <w:rFonts w:ascii="Times New Roman" w:cs="Times New Roman" w:eastAsia="Times New Roman" w:hAnsi="Times New Roman"/>
          <w:sz w:val="18"/>
          <w:szCs w:val="18"/>
          <w:color w:val="auto"/>
        </w:rPr>
        <w:t>The Metal Cutting segment develops and manufactures high performance tooling and metal cutting products and services and offers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assortment of standard and custom metal cutting solutions to diverse end markets, including Aerospace &amp; Defense, General Engineering, Energy and Transportation. The products include milling, hole making, turning, threading and toolmaking systems used in the manufacture of airframes, aero engines, trucks and automobiles, ships and various types of industrial equipment. We leverage advanced manufacturing capabilities in combination with varying levels of customization to solve our customers’ toughest challenges and deliver improved productivity for a wide range of applications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Metal Cutting markets its products under the Kennametal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WIDIA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WIDIA Hanita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WIDIA GTD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brands through its direct sales force, a network of independent and national distributors, integrated supplier channels and via the Internet. Application engineers and technicians are critical to the sales process and directly assist our customers with specified product design, selection, application and support.</w:t>
      </w:r>
    </w:p>
    <w:p>
      <w:pPr>
        <w:spacing w:after="0" w:line="8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INFRASTRUCTURE </w:t>
      </w:r>
      <w:r>
        <w:rPr>
          <w:rFonts w:ascii="Times New Roman" w:cs="Times New Roman" w:eastAsia="Times New Roman" w:hAnsi="Times New Roman"/>
          <w:sz w:val="18"/>
          <w:szCs w:val="18"/>
          <w:color w:val="auto"/>
        </w:rPr>
        <w:t>Our Infrastructure segment produces engineered tungsten carbide and ceramic components, earth-cutting tools, and advanced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metallurgical powders, primarily for the Aerospace &amp; Defense, Energy, Earthworks and General Engineering end markets. These wear-resistant products include compacts, nozzles, frac seats and custom components used in oil and gas and petrochemical industries; rod blanks and abrasive water jet nozzles for general industries; earth cutting tools and systems used in underground mining, trenching and foundation drilling and road milling; tungsten carbide powders for the oil and gas, aerospace and process industries; high temperature critical wear components, tungsten penetrators and armor solutions for aerospace and defense; and ceramics used by the packaging industry for metallization of films and papers. We combine deep metallurgical and engineering expertise with advanced manufacturing capabilities, such as 3D printing, to deliver solutions that drive improved productivity for our customers. Infrastructure markets its products primarily under the Kennametal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and sells through a direct sales force as well as through distributors.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Segment data is summarized as follows:</w:t>
            </w:r>
          </w:p>
        </w:tc>
        <w:tc>
          <w:tcPr>
            <w:tcW w:w="2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57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5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Three Months Ended September</w:t>
            </w:r>
          </w:p>
        </w:tc>
        <w:tc>
          <w:tcPr>
            <w:tcW w:w="0" w:type="dxa"/>
            <w:vAlign w:val="bottom"/>
          </w:tcPr>
          <w:p>
            <w:pPr>
              <w:spacing w:after="0"/>
              <w:rPr>
                <w:sz w:val="1"/>
                <w:szCs w:val="1"/>
                <w:color w:val="auto"/>
              </w:rPr>
            </w:pPr>
          </w:p>
        </w:tc>
      </w:tr>
      <w:tr>
        <w:trPr>
          <w:trHeight w:val="234"/>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980" w:type="dxa"/>
            <w:vAlign w:val="bottom"/>
          </w:tcPr>
          <w:p>
            <w:pPr>
              <w:spacing w:after="0"/>
              <w:rPr>
                <w:sz w:val="20"/>
                <w:szCs w:val="20"/>
                <w:color w:val="auto"/>
              </w:rPr>
            </w:pPr>
          </w:p>
        </w:tc>
        <w:tc>
          <w:tcPr>
            <w:tcW w:w="10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10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9"/>
        </w:trPr>
        <w:tc>
          <w:tcPr>
            <w:tcW w:w="5760" w:type="dxa"/>
            <w:vAlign w:val="bottom"/>
            <w:tcBorders>
              <w:bottom w:val="single" w:sz="8" w:color="auto"/>
            </w:tcBorders>
            <w:vMerge w:val="continue"/>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9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Metal Cutting</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398,155</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310,625</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Infrastructure</w:t>
            </w:r>
          </w:p>
        </w:tc>
        <w:tc>
          <w:tcPr>
            <w:tcW w:w="29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370,038</w:t>
            </w: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187,349</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2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768,193</w:t>
            </w:r>
          </w:p>
        </w:tc>
        <w:tc>
          <w:tcPr>
            <w:tcW w:w="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497,974</w:t>
            </w:r>
          </w:p>
        </w:tc>
        <w:tc>
          <w:tcPr>
            <w:tcW w:w="0" w:type="dxa"/>
            <w:vAlign w:val="bottom"/>
          </w:tcPr>
          <w:p>
            <w:pPr>
              <w:spacing w:after="0"/>
              <w:rPr>
                <w:sz w:val="1"/>
                <w:szCs w:val="1"/>
                <w:color w:val="auto"/>
              </w:rPr>
            </w:pP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60" w:type="dxa"/>
            <w:vAlign w:val="bottom"/>
            <w:shd w:val="clear" w:color="auto" w:fill="CCEEFF"/>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Metal Cutting</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178,417</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200,775</w:t>
            </w:r>
          </w:p>
        </w:tc>
        <w:tc>
          <w:tcPr>
            <w:tcW w:w="0" w:type="dxa"/>
            <w:vAlign w:val="bottom"/>
          </w:tcPr>
          <w:p>
            <w:pPr>
              <w:spacing w:after="0"/>
              <w:rPr>
                <w:sz w:val="1"/>
                <w:szCs w:val="1"/>
                <w:color w:val="auto"/>
              </w:rPr>
            </w:pPr>
          </w:p>
        </w:tc>
      </w:tr>
      <w:tr>
        <w:trPr>
          <w:trHeight w:val="229"/>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Infrastructure</w:t>
            </w:r>
          </w:p>
        </w:tc>
        <w:tc>
          <w:tcPr>
            <w:tcW w:w="29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76,170</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142,595</w:t>
            </w:r>
          </w:p>
        </w:tc>
        <w:tc>
          <w:tcPr>
            <w:tcW w:w="0" w:type="dxa"/>
            <w:vAlign w:val="bottom"/>
          </w:tcPr>
          <w:p>
            <w:pPr>
              <w:spacing w:after="0"/>
              <w:rPr>
                <w:sz w:val="1"/>
                <w:szCs w:val="1"/>
                <w:color w:val="auto"/>
              </w:rPr>
            </w:pPr>
          </w:p>
        </w:tc>
      </w:tr>
      <w:tr>
        <w:trPr>
          <w:trHeight w:val="257"/>
        </w:trPr>
        <w:tc>
          <w:tcPr>
            <w:tcW w:w="5760" w:type="dxa"/>
            <w:vAlign w:val="bottom"/>
            <w:shd w:val="clear" w:color="auto" w:fill="CCEEFF"/>
          </w:tcPr>
          <w:p>
            <w:pPr>
              <w:spacing w:after="0"/>
              <w:rPr>
                <w:sz w:val="22"/>
                <w:szCs w:val="22"/>
                <w:color w:val="auto"/>
              </w:rPr>
            </w:pPr>
          </w:p>
        </w:tc>
        <w:tc>
          <w:tcPr>
            <w:tcW w:w="29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KENNAMETAL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108585</wp:posOffset>
            </wp:positionV>
            <wp:extent cx="711517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5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Three Months Ended September</w:t>
            </w:r>
          </w:p>
        </w:tc>
        <w:tc>
          <w:tcPr>
            <w:tcW w:w="0" w:type="dxa"/>
            <w:vAlign w:val="bottom"/>
          </w:tcPr>
          <w:p>
            <w:pPr>
              <w:spacing w:after="0"/>
              <w:rPr>
                <w:sz w:val="1"/>
                <w:szCs w:val="1"/>
                <w:color w:val="auto"/>
              </w:rPr>
            </w:pPr>
          </w:p>
        </w:tc>
      </w:tr>
      <w:tr>
        <w:trPr>
          <w:trHeight w:val="234"/>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80" w:type="dxa"/>
            <w:vAlign w:val="bottom"/>
          </w:tcPr>
          <w:p>
            <w:pPr>
              <w:spacing w:after="0"/>
              <w:rPr>
                <w:sz w:val="20"/>
                <w:szCs w:val="20"/>
                <w:color w:val="auto"/>
              </w:rPr>
            </w:pPr>
          </w:p>
        </w:tc>
        <w:tc>
          <w:tcPr>
            <w:tcW w:w="10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7"/>
              </w:rPr>
              <w:t>30,</w:t>
            </w:r>
          </w:p>
        </w:tc>
        <w:tc>
          <w:tcPr>
            <w:tcW w:w="10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auto"/>
            </w:tcBorders>
            <w:vMerge w:val="continue"/>
          </w:tcPr>
          <w:p>
            <w:pPr>
              <w:spacing w:after="0"/>
              <w:rPr>
                <w:sz w:val="19"/>
                <w:szCs w:val="19"/>
                <w:color w:val="auto"/>
              </w:rPr>
            </w:pPr>
          </w:p>
        </w:tc>
        <w:tc>
          <w:tcPr>
            <w:tcW w:w="30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3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Metal Cutting</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95,963</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86,173</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Infrastructure</w:t>
            </w:r>
          </w:p>
        </w:tc>
        <w:tc>
          <w:tcPr>
            <w:tcW w:w="30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30,345</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26,264</w:t>
            </w:r>
          </w:p>
        </w:tc>
        <w:tc>
          <w:tcPr>
            <w:tcW w:w="0" w:type="dxa"/>
            <w:vAlign w:val="bottom"/>
          </w:tcPr>
          <w:p>
            <w:pPr>
              <w:spacing w:after="0"/>
              <w:rPr>
                <w:sz w:val="1"/>
                <w:szCs w:val="1"/>
                <w:color w:val="auto"/>
              </w:rPr>
            </w:pPr>
          </w:p>
        </w:tc>
      </w:tr>
      <w:tr>
        <w:trPr>
          <w:trHeight w:val="257"/>
        </w:trPr>
        <w:tc>
          <w:tcPr>
            <w:tcW w:w="5660" w:type="dxa"/>
            <w:vAlign w:val="bottom"/>
            <w:shd w:val="clear" w:color="auto" w:fill="CCEEFF"/>
          </w:tcPr>
          <w:p>
            <w:pPr>
              <w:spacing w:after="0"/>
              <w:rPr>
                <w:sz w:val="22"/>
                <w:szCs w:val="22"/>
                <w:color w:val="auto"/>
              </w:rPr>
            </w:pPr>
          </w:p>
        </w:tc>
        <w:tc>
          <w:tcPr>
            <w:tcW w:w="30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3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Metal Cutting</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Infrastructure</w:t>
            </w:r>
          </w:p>
        </w:tc>
        <w:tc>
          <w:tcPr>
            <w:tcW w:w="30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57"/>
        </w:trPr>
        <w:tc>
          <w:tcPr>
            <w:tcW w:w="5660" w:type="dxa"/>
            <w:vAlign w:val="bottom"/>
            <w:shd w:val="clear" w:color="auto" w:fill="CCEEFF"/>
          </w:tcPr>
          <w:p>
            <w:pPr>
              <w:spacing w:after="0"/>
              <w:rPr>
                <w:sz w:val="22"/>
                <w:szCs w:val="22"/>
                <w:color w:val="auto"/>
              </w:rPr>
            </w:pPr>
          </w:p>
        </w:tc>
        <w:tc>
          <w:tcPr>
            <w:tcW w:w="30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Metal Cutting</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Infrastructure</w:t>
            </w:r>
          </w:p>
        </w:tc>
        <w:tc>
          <w:tcPr>
            <w:tcW w:w="30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0" w:type="dxa"/>
            <w:vAlign w:val="bottom"/>
          </w:tcPr>
          <w:p>
            <w:pPr>
              <w:spacing w:after="0"/>
              <w:rPr>
                <w:sz w:val="1"/>
                <w:szCs w:val="1"/>
                <w:color w:val="auto"/>
              </w:rPr>
            </w:pPr>
          </w:p>
        </w:tc>
      </w:tr>
      <w:tr>
        <w:trPr>
          <w:trHeight w:val="257"/>
        </w:trPr>
        <w:tc>
          <w:tcPr>
            <w:tcW w:w="5660" w:type="dxa"/>
            <w:vAlign w:val="bottom"/>
            <w:shd w:val="clear" w:color="auto" w:fill="CCEEFF"/>
          </w:tcPr>
          <w:p>
            <w:pPr>
              <w:spacing w:after="0"/>
              <w:rPr>
                <w:sz w:val="22"/>
                <w:szCs w:val="22"/>
                <w:color w:val="auto"/>
              </w:rPr>
            </w:pPr>
          </w:p>
        </w:tc>
        <w:tc>
          <w:tcPr>
            <w:tcW w:w="30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Metal Cutting</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118,337</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21,564</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Infrastructure</w:t>
            </w:r>
          </w:p>
        </w:tc>
        <w:tc>
          <w:tcPr>
            <w:tcW w:w="30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261,723</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16,639</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30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380,060</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38,203</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30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379,251</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37,559</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356,716</w:t>
            </w:r>
          </w:p>
        </w:tc>
        <w:tc>
          <w:tcPr>
            <w:tcW w:w="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33,695</w:t>
            </w:r>
          </w:p>
        </w:tc>
        <w:tc>
          <w:tcPr>
            <w:tcW w:w="0" w:type="dxa"/>
            <w:vAlign w:val="bottom"/>
          </w:tcPr>
          <w:p>
            <w:pPr>
              <w:spacing w:after="0"/>
              <w:rPr>
                <w:sz w:val="1"/>
                <w:szCs w:val="1"/>
                <w:color w:val="auto"/>
              </w:rPr>
            </w:pP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Metal Cutting</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23,328</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24,447</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Infrastructure</w:t>
            </w:r>
          </w:p>
        </w:tc>
        <w:tc>
          <w:tcPr>
            <w:tcW w:w="30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10,598</w:t>
            </w:r>
          </w:p>
        </w:tc>
        <w:tc>
          <w:tcPr>
            <w:tcW w:w="0" w:type="dxa"/>
            <w:vAlign w:val="bottom"/>
          </w:tcPr>
          <w:p>
            <w:pPr>
              <w:spacing w:after="0"/>
              <w:rPr>
                <w:sz w:val="1"/>
                <w:szCs w:val="1"/>
                <w:color w:val="auto"/>
              </w:rPr>
            </w:pPr>
          </w:p>
        </w:tc>
      </w:tr>
      <w:tr>
        <w:trPr>
          <w:trHeight w:val="221"/>
        </w:trPr>
        <w:tc>
          <w:tcPr>
            <w:tcW w:w="566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depreciation and amortization</w:t>
            </w:r>
          </w:p>
        </w:tc>
        <w:tc>
          <w:tcPr>
            <w:tcW w:w="3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33,806</w:t>
            </w:r>
          </w:p>
        </w:tc>
        <w:tc>
          <w:tcPr>
            <w:tcW w:w="4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35,045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auto"/>
            </w:tcBorders>
          </w:tcPr>
          <w:p>
            <w:pPr>
              <w:spacing w:after="0" w:line="20" w:lineRule="exact"/>
              <w:rPr>
                <w:sz w:val="1"/>
                <w:szCs w:val="1"/>
                <w:color w:val="auto"/>
              </w:rPr>
            </w:pPr>
          </w:p>
        </w:tc>
        <w:tc>
          <w:tcPr>
            <w:tcW w:w="30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Metal Cutting</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11,615</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Infrastructure</w:t>
            </w:r>
          </w:p>
        </w:tc>
        <w:tc>
          <w:tcPr>
            <w:tcW w:w="30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22,982</w:t>
            </w:r>
          </w:p>
        </w:tc>
        <w:tc>
          <w:tcPr>
            <w:tcW w:w="0" w:type="dxa"/>
            <w:vAlign w:val="bottom"/>
          </w:tcPr>
          <w:p>
            <w:pPr>
              <w:spacing w:after="0"/>
              <w:rPr>
                <w:sz w:val="1"/>
                <w:szCs w:val="1"/>
                <w:color w:val="auto"/>
              </w:rPr>
            </w:pP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assets</w:t>
            </w:r>
            <w:r>
              <w:rPr>
                <w:rFonts w:ascii="Times New Roman" w:cs="Times New Roman" w:eastAsia="Times New Roman" w:hAnsi="Times New Roman"/>
                <w:sz w:val="9"/>
                <w:szCs w:val="9"/>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w:t>
            </w:r>
          </w:p>
        </w:tc>
        <w:tc>
          <w:tcPr>
            <w:tcW w:w="3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Metal Cutting</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1,494,913</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24242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1,394,560</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Infrastructure</w:t>
            </w:r>
          </w:p>
        </w:tc>
        <w:tc>
          <w:tcPr>
            <w:tcW w:w="30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1,700,631</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701,801</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0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684,694</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422,563</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3,880,238</w:t>
            </w:r>
          </w:p>
        </w:tc>
        <w:tc>
          <w:tcPr>
            <w:tcW w:w="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2,518,924</w:t>
            </w:r>
          </w:p>
        </w:tc>
        <w:tc>
          <w:tcPr>
            <w:tcW w:w="0" w:type="dxa"/>
            <w:vAlign w:val="bottom"/>
          </w:tcPr>
          <w:p>
            <w:pPr>
              <w:spacing w:after="0"/>
              <w:rPr>
                <w:sz w:val="1"/>
                <w:szCs w:val="1"/>
                <w:color w:val="auto"/>
              </w:rPr>
            </w:pP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right="360" w:firstLine="8"/>
        <w:spacing w:after="0" w:line="271" w:lineRule="auto"/>
        <w:tabs>
          <w:tab w:leader="none" w:pos="145"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Metal Cutting and Infrastructure segment assets are principally accounts receivable, less allowance for doubtful accounts; inventories; property, plant and equipment, net; goodwill; other intangible assets, net of accumulated amortization. Corporate assets are principally cash and cash equivalents, other current assets, long-term prepaid pension benefit, deferred income taxes, operating lease ROU assets and other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KENNAMETAL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108585</wp:posOffset>
            </wp:positionV>
            <wp:extent cx="711517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Kennametal's revenue disaggregated by geography: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September 30, 2026</w:t>
            </w:r>
          </w:p>
        </w:tc>
        <w:tc>
          <w:tcPr>
            <w:tcW w:w="2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Three Months Ended</w:t>
            </w:r>
          </w:p>
        </w:tc>
        <w:tc>
          <w:tcPr>
            <w:tcW w:w="17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September 30, 2025</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580" w:type="dxa"/>
            <w:vAlign w:val="bottom"/>
          </w:tcPr>
          <w:p>
            <w:pPr>
              <w:spacing w:after="0"/>
              <w:rPr>
                <w:sz w:val="15"/>
                <w:szCs w:val="15"/>
                <w:color w:val="auto"/>
              </w:rPr>
            </w:pPr>
          </w:p>
        </w:tc>
        <w:tc>
          <w:tcPr>
            <w:tcW w:w="9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Metal</w:t>
            </w:r>
          </w:p>
        </w:tc>
        <w:tc>
          <w:tcPr>
            <w:tcW w:w="1720" w:type="dxa"/>
            <w:vAlign w:val="bottom"/>
          </w:tcPr>
          <w:p>
            <w:pPr>
              <w:spacing w:after="0"/>
              <w:rPr>
                <w:sz w:val="15"/>
                <w:szCs w:val="15"/>
                <w:color w:val="auto"/>
              </w:rPr>
            </w:pPr>
          </w:p>
        </w:tc>
        <w:tc>
          <w:tcPr>
            <w:tcW w:w="1180" w:type="dxa"/>
            <w:vAlign w:val="bottom"/>
          </w:tcPr>
          <w:p>
            <w:pPr>
              <w:jc w:val="center"/>
              <w:ind w:right="110"/>
              <w:spacing w:after="0" w:line="177" w:lineRule="exact"/>
              <w:rPr>
                <w:sz w:val="20"/>
                <w:szCs w:val="20"/>
                <w:color w:val="auto"/>
              </w:rPr>
            </w:pPr>
            <w:r>
              <w:rPr>
                <w:rFonts w:ascii="Times New Roman" w:cs="Times New Roman" w:eastAsia="Times New Roman" w:hAnsi="Times New Roman"/>
                <w:sz w:val="18"/>
                <w:szCs w:val="18"/>
                <w:color w:val="auto"/>
                <w:w w:val="99"/>
              </w:rPr>
              <w:t>Total</w:t>
            </w:r>
          </w:p>
        </w:tc>
        <w:tc>
          <w:tcPr>
            <w:tcW w:w="10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Metal</w:t>
            </w:r>
          </w:p>
        </w:tc>
        <w:tc>
          <w:tcPr>
            <w:tcW w:w="1700" w:type="dxa"/>
            <w:vAlign w:val="bottom"/>
          </w:tcPr>
          <w:p>
            <w:pPr>
              <w:spacing w:after="0"/>
              <w:rPr>
                <w:sz w:val="15"/>
                <w:szCs w:val="15"/>
                <w:color w:val="auto"/>
              </w:rPr>
            </w:pPr>
          </w:p>
        </w:tc>
        <w:tc>
          <w:tcPr>
            <w:tcW w:w="110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34"/>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percentages)</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Cutting</w:t>
            </w:r>
          </w:p>
        </w:tc>
        <w:tc>
          <w:tcPr>
            <w:tcW w:w="17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Infrastructure</w:t>
            </w:r>
          </w:p>
        </w:tc>
        <w:tc>
          <w:tcPr>
            <w:tcW w:w="11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Kennametal</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Cutting</w:t>
            </w:r>
          </w:p>
        </w:tc>
        <w:tc>
          <w:tcPr>
            <w:tcW w:w="17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Infrastructure</w:t>
            </w: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Kennametal</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w:t>
            </w:r>
          </w:p>
        </w:tc>
        <w:tc>
          <w:tcPr>
            <w:tcW w:w="11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57%</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57%</w:t>
            </w:r>
          </w:p>
        </w:tc>
        <w:tc>
          <w:tcPr>
            <w:tcW w:w="11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the Middle East and Africa (EMEA)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27</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180" w:type="dxa"/>
            <w:vAlign w:val="bottom"/>
            <w:tcBorders>
              <w:bottom w:val="single" w:sz="8" w:color="auto"/>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16</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10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Kennametal's revenue disaggregated by end market: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September 30, 2026</w:t>
            </w:r>
          </w:p>
        </w:tc>
        <w:tc>
          <w:tcPr>
            <w:tcW w:w="2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Three Months Ended</w:t>
            </w:r>
          </w:p>
        </w:tc>
        <w:tc>
          <w:tcPr>
            <w:tcW w:w="17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September 30, 2025</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580" w:type="dxa"/>
            <w:vAlign w:val="bottom"/>
          </w:tcPr>
          <w:p>
            <w:pPr>
              <w:spacing w:after="0"/>
              <w:rPr>
                <w:sz w:val="14"/>
                <w:szCs w:val="14"/>
                <w:color w:val="auto"/>
              </w:rPr>
            </w:pPr>
          </w:p>
        </w:tc>
        <w:tc>
          <w:tcPr>
            <w:tcW w:w="9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Metal</w:t>
            </w:r>
          </w:p>
        </w:tc>
        <w:tc>
          <w:tcPr>
            <w:tcW w:w="1720" w:type="dxa"/>
            <w:vAlign w:val="bottom"/>
          </w:tcPr>
          <w:p>
            <w:pPr>
              <w:spacing w:after="0"/>
              <w:rPr>
                <w:sz w:val="14"/>
                <w:szCs w:val="14"/>
                <w:color w:val="auto"/>
              </w:rPr>
            </w:pPr>
          </w:p>
        </w:tc>
        <w:tc>
          <w:tcPr>
            <w:tcW w:w="118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color w:val="auto"/>
                <w:w w:val="99"/>
              </w:rPr>
              <w:t>Total</w:t>
            </w:r>
          </w:p>
        </w:tc>
        <w:tc>
          <w:tcPr>
            <w:tcW w:w="10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Metal</w:t>
            </w:r>
          </w:p>
        </w:tc>
        <w:tc>
          <w:tcPr>
            <w:tcW w:w="1700" w:type="dxa"/>
            <w:vAlign w:val="bottom"/>
          </w:tcPr>
          <w:p>
            <w:pPr>
              <w:spacing w:after="0"/>
              <w:rPr>
                <w:sz w:val="14"/>
                <w:szCs w:val="14"/>
                <w:color w:val="auto"/>
              </w:rPr>
            </w:pPr>
          </w:p>
        </w:tc>
        <w:tc>
          <w:tcPr>
            <w:tcW w:w="1100" w:type="dxa"/>
            <w:vAlign w:val="bottom"/>
          </w:tcPr>
          <w:p>
            <w:pPr>
              <w:jc w:val="center"/>
              <w:ind w:right="10"/>
              <w:spacing w:after="0" w:line="169" w:lineRule="exact"/>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43"/>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percentages)</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Cutting</w:t>
            </w:r>
          </w:p>
        </w:tc>
        <w:tc>
          <w:tcPr>
            <w:tcW w:w="17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Infrastructure</w:t>
            </w:r>
          </w:p>
        </w:tc>
        <w:tc>
          <w:tcPr>
            <w:tcW w:w="11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Kennametal</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Cutting</w:t>
            </w:r>
          </w:p>
        </w:tc>
        <w:tc>
          <w:tcPr>
            <w:tcW w:w="17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Infrastructure</w:t>
            </w: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Kennametal</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Engineering</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54%</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11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40%</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31%</w:t>
            </w:r>
          </w:p>
        </w:tc>
        <w:tc>
          <w:tcPr>
            <w:tcW w:w="11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44%</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11</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Aerospace &amp; Defense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1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14</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1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18</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Earthworks</w:t>
            </w: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180" w:type="dxa"/>
            <w:vAlign w:val="bottom"/>
            <w:tcBorders>
              <w:bottom w:val="single" w:sz="8" w:color="auto"/>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17</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10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122555</wp:posOffset>
            </wp:positionV>
            <wp:extent cx="711517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Kennametal Inc. was founded based on a tungsten carbide technology breakthrough in 1938. The Company was incorporated in Pennsylvania in 1943 as a manufacturer of tungsten carbide metal cutting tooling and was listed on the New York Stock Exchange (NYSE) in 1967. With more than 85 years of materials expertise, the Company is a global industrial technology leader, helping customers across the Aerospace &amp; Defense, Earthworks, Energy, General Engineering and Transportation industries manufacture with precision and efficiency. This expertise includes the development and application of tungsten carbides, ceramics, super-hard materials and solutions used in metal cutting and extreme wear applications to keep customers up and running longer against conditions such as corrosion and high temperatures.</w:t>
      </w:r>
    </w:p>
    <w:p>
      <w:pPr>
        <w:spacing w:after="0" w:line="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standard and custom product offering spans metal cutting and wear applications including turning, milling, hole making, tooling systems and services, as well as specialized wear components and metallurgical powders. End users of the Company's metal cutting products include manufacturers engaged in a diverse array of industries including: the manufacturers of transportation vehicles and components, machine tools and light and heavy machinery; airframe and aerospace components; and energy-related components for the oil and gas industry, as well as power generation. The Company’s wear and metallurgical powders are used by producers and suppliers in equipment-intensive operations such as road construction, mining, quarrying, oil and gas exploration, refining, production and supply, and for aerospace and defense.</w:t>
      </w:r>
    </w:p>
    <w:p>
      <w:pPr>
        <w:spacing w:after="0" w:line="7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Throughout MD&amp;A, we refer to measures used by management to evaluate performance. We also refer to a number of financial measures that are not defined under accounting principles generally accepted in the United States of America (U.S. GAAP), including organic sales growth, constant currency regional sales growth and constant currency end market sales growth. We provide the definitions of these non-GAAP financial measures at the end of the MD&amp;A section as well as details on the use and derivation of these financial measures.</w:t>
      </w:r>
    </w:p>
    <w:p>
      <w:pPr>
        <w:spacing w:after="0" w:line="7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sales of $768.2 million for the three months ended September 30, 2026 increased 54 percent from $498.0 million in the prior year quarter, reflecting organic sales growth of 54 percent.</w:t>
      </w:r>
    </w:p>
    <w:p>
      <w:pPr>
        <w:spacing w:after="0" w:line="5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Operating income for the three months ended September 30, 2026 was $379.3 million compared to $37.6 million in the prior year quarter. The year-over-year increase of $341.7 million was driven by the favorable timing of raw material-related pricing compared to costs of approximately $323 million, non-raw material-related pricing and tariff income, higher sales and production volumes in Metal Cutting, an incremental benefit of approximately $4 million from an advanced manufacturing production credit under the Inflation Reduction Act within the Infrastructure segment, and incremental year-over-year restructuring savings of approximately $3 million. These factors were partially offset by tariffs and general inflation, higher compensation costs, an impairment of an equity investment of approximately $5 million and a charge of approximately $5 million related to the write-off of certain fixed assets in the current quarter.</w:t>
      </w:r>
    </w:p>
    <w:p>
      <w:pPr>
        <w:spacing w:after="0" w:line="81"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Operating margin for the three months ended September 30, 2026 was 49.4 percent compared to 7.5 percent in the prior year quarter. The Metal Cutting and Infrastructure segments had operating margins of 29.7 percent and 70.7 percent, respectively, for the three months ended September 30, 2026.</w:t>
      </w:r>
    </w:p>
    <w:p>
      <w:pPr>
        <w:spacing w:after="0" w:line="3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February 2026, the U.S. Supreme Court issued a ruling invalidating certain tariffs previously imposed under the International Emergency Economic Powers Act (IEEPA). As a result of this ruling, companies may be eligible for a refund of tariffs previously paid on imported goods. We are pursuing potential recovery opportunities arising from this ruling. The benefit associated with tariff refunds received during the three months ended September 30, 2026 was recognized as a reduction of cost of goods sold. The Company has not recorded any liabilities associated with potential tariff recoveries, as any refunds received are expected to be reinvested in the business and no obligation to reimburse customers existed as of September 30, 2026.</w:t>
      </w:r>
    </w:p>
    <w:p>
      <w:pPr>
        <w:spacing w:after="0" w:line="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Additionally, our business has been affected by foreign currency exchange, inflationary headwinds and rising tungsten prices. These pressures, driven by tightening global supply, geopolitical factors and evolving trade policies have increased raw material costs and caused other business disruptions. We have been able to mitigate these impacts through price increases on our products, supplier diversification and inventory management initiatives. However, we cannot predict the ultimate effect of these issues on our business, operating results, cash flows or financial condition. Continued volatility in commodity pricing, foreign exchange rates and supply availability could adversely affect our margins, operations and liquidity and may increase the risk of future impairment charges, including goodwill and other intangible assets. In addition, significant declines in raw material costs could reduce the net realizable value of our inventory, potentially requiring write-downs. We are continuing to monitor macroeconomic conditions and will take actions to mitigate these effects to the extent possible.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September 30, 2026, earnings per diluted share (EPS) was $3.48 compared to $0.30 in the prior year quarter.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ind w:right="116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78105</wp:posOffset>
            </wp:positionV>
            <wp:extent cx="709803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Net cash flow used in operating activities was $201.3 million during the three months ended September 30, 2026 compared to net cash flow provided by operating activities of $17.5 million during the prior year period. Capital expenditures were $10.8 million and $23.0 million during the three months ended September 30, 2026 and 2025, respectively. During the three months ended September 30, 2026, the Company returned $15.2 million to shareholders through dividends. The Company has a long history of consistently paying dividends to shareholders since its listing on the New York Stock Exchange in 1967.</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CONTINUING OPERATIONS</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SALES </w:t>
      </w:r>
      <w:r>
        <w:rPr>
          <w:rFonts w:ascii="Times New Roman" w:cs="Times New Roman" w:eastAsia="Times New Roman" w:hAnsi="Times New Roman"/>
          <w:sz w:val="18"/>
          <w:szCs w:val="18"/>
          <w:color w:val="auto"/>
        </w:rPr>
        <w:t>Sales for the three months ended September 30, 2026 were $768.2 million, an increase of $270.2 million, or 54 percent, from $498.0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year quarter, reflecting organic sales growth of 54 percent.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Our sales growth by end market and region are as follows:</w:t>
            </w:r>
          </w:p>
        </w:tc>
        <w:tc>
          <w:tcPr>
            <w:tcW w:w="1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19"/>
        </w:trPr>
        <w:tc>
          <w:tcPr>
            <w:tcW w:w="9000" w:type="dxa"/>
            <w:vAlign w:val="bottom"/>
          </w:tcPr>
          <w:p>
            <w:pPr>
              <w:spacing w:after="0"/>
              <w:rPr>
                <w:sz w:val="24"/>
                <w:szCs w:val="24"/>
                <w:color w:val="auto"/>
              </w:rPr>
            </w:pP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0"/>
        </w:trPr>
        <w:tc>
          <w:tcPr>
            <w:tcW w:w="9000" w:type="dxa"/>
            <w:vAlign w:val="bottom"/>
          </w:tcPr>
          <w:p>
            <w:pPr>
              <w:spacing w:after="0"/>
              <w:rPr>
                <w:sz w:val="19"/>
                <w:szCs w:val="19"/>
                <w:color w:val="auto"/>
              </w:rPr>
            </w:pP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September 30, 2026</w:t>
            </w:r>
          </w:p>
        </w:tc>
      </w:tr>
      <w:tr>
        <w:trPr>
          <w:trHeight w:val="189"/>
        </w:trPr>
        <w:tc>
          <w:tcPr>
            <w:tcW w:w="9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6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Constant</w:t>
            </w:r>
          </w:p>
        </w:tc>
      </w:tr>
      <w:tr>
        <w:trPr>
          <w:trHeight w:val="234"/>
        </w:trPr>
        <w:tc>
          <w:tcPr>
            <w:tcW w:w="9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percentages)</w:t>
            </w:r>
          </w:p>
        </w:tc>
        <w:tc>
          <w:tcPr>
            <w:tcW w:w="1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 Reported</w:t>
            </w: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Currency</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market sales growth:</w:t>
            </w:r>
          </w:p>
        </w:tc>
        <w:tc>
          <w:tcPr>
            <w:tcW w:w="1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9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Aerospace &amp; Defense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61%</w:t>
            </w:r>
          </w:p>
        </w:tc>
      </w:tr>
      <w:tr>
        <w:trPr>
          <w:trHeight w:val="229"/>
        </w:trPr>
        <w:tc>
          <w:tcPr>
            <w:tcW w:w="9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Energy</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127</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9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Engineering</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29"/>
        </w:trPr>
        <w:tc>
          <w:tcPr>
            <w:tcW w:w="9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30"/>
        </w:trPr>
        <w:tc>
          <w:tcPr>
            <w:tcW w:w="9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Earthworks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Regional sales growth:</w:t>
            </w:r>
          </w:p>
        </w:tc>
        <w:tc>
          <w:tcPr>
            <w:tcW w:w="1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9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76%</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76%</w:t>
            </w:r>
          </w:p>
        </w:tc>
      </w:tr>
      <w:tr>
        <w:trPr>
          <w:trHeight w:val="230"/>
        </w:trPr>
        <w:tc>
          <w:tcPr>
            <w:tcW w:w="9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 the Middle East and Africa (EMEA)</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30"/>
        </w:trPr>
        <w:tc>
          <w:tcPr>
            <w:tcW w:w="9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Asia Pacific</w:t>
            </w:r>
          </w:p>
        </w:tc>
        <w:tc>
          <w:tcPr>
            <w:tcW w:w="1180" w:type="dxa"/>
            <w:vAlign w:val="bottom"/>
            <w:tcBorders>
              <w:bottom w:val="single" w:sz="8" w:color="6D6D6D"/>
            </w:tcBorders>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1060" w:type="dxa"/>
            <w:vAlign w:val="bottom"/>
            <w:tcBorders>
              <w:bottom w:val="single" w:sz="8" w:color="6D6D6D"/>
            </w:tcBorders>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bl>
    <w:p>
      <w:pPr>
        <w:spacing w:after="0" w:line="18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Gross profit for the three months ended September 30, 2026 was $513.6 million, an increase of $359.0 million from $154.6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prior year quarter. The increase was driven by the favorable timing of raw material-related pricing compared to costs of approximately $323 million, non-raw material-related pricing and tariff income, higher sales and production volumes in Metal Cutting, and an incremental benefit of approximately $4 million from an advanced manufacturing production credit under the Inflation Reduction Act within the Infrastructure segment. These factors were partially offset by tariffs and general inflation, and higher compensation costs. Gross profit margin for the three months ended September 30, 2026 was 66.9 percent, as compared to 31.0 percent in the prior year quarter.</w:t>
      </w:r>
    </w:p>
    <w:p>
      <w:pPr>
        <w:spacing w:after="0" w:line="7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EXPENSE </w:t>
      </w:r>
      <w:r>
        <w:rPr>
          <w:rFonts w:ascii="Times New Roman" w:cs="Times New Roman" w:eastAsia="Times New Roman" w:hAnsi="Times New Roman"/>
          <w:sz w:val="18"/>
          <w:szCs w:val="18"/>
          <w:color w:val="auto"/>
        </w:rPr>
        <w:t>Operating expense for the three months ended September 30, 2026 was $126.8 million compared to $113.0 million for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September 30, 2025.</w:t>
      </w:r>
    </w:p>
    <w:p>
      <w:pPr>
        <w:spacing w:after="0" w:line="5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included in operating expense totaled $11.0 million and $10.6 million for the three months ended September 30, 2026 and 2025, respectively.</w:t>
      </w:r>
    </w:p>
    <w:p>
      <w:pPr>
        <w:spacing w:after="0" w:line="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RESTRUCTURING AND OTHER CHARGES, NET </w:t>
      </w:r>
      <w:r>
        <w:rPr>
          <w:rFonts w:ascii="Times New Roman" w:cs="Times New Roman" w:eastAsia="Times New Roman" w:hAnsi="Times New Roman"/>
          <w:sz w:val="18"/>
          <w:szCs w:val="18"/>
          <w:color w:val="auto"/>
        </w:rPr>
        <w:t>We recorded a net benefit from the reversal of restructuring and related charges of $0.1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three months ended September 30, 2026. Included in this amount were restructuring related charges of $0.1 million included in cost of goods sold.</w:t>
      </w:r>
    </w:p>
    <w:p>
      <w:pPr>
        <w:spacing w:after="0" w:line="5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Also included in other charges, net for the three months ended September 30, 2026 was an impairment of $5.0 million related to an equity investment and a charge of $0.6 million related to an impairment of property.</w:t>
      </w:r>
    </w:p>
    <w:p>
      <w:pPr>
        <w:spacing w:after="0" w:line="5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INTEREST EXPENSE </w:t>
      </w:r>
      <w:r>
        <w:rPr>
          <w:rFonts w:ascii="Times New Roman" w:cs="Times New Roman" w:eastAsia="Times New Roman" w:hAnsi="Times New Roman"/>
          <w:sz w:val="18"/>
          <w:szCs w:val="18"/>
          <w:color w:val="auto"/>
        </w:rPr>
        <w:t>Interest expense for the three months ended September 30, 2026 increased to $11.5 million compared to $6.2 million for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September 30, 2025. The increase is primarily due to the addition of the $500.0 million variable-rate Term Loan and the replacement of the Company's 4.625% Senior Unsecured Notes due fiscal 2028 with 5.800% Senior Unsecured Notes due fiscal 2036 as part of the May 2026 refinancing transactions.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ind w:right="116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78105</wp:posOffset>
            </wp:positionV>
            <wp:extent cx="709803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EXPENSE (INCOME), NET </w:t>
      </w:r>
      <w:r>
        <w:rPr>
          <w:rFonts w:ascii="Times New Roman" w:cs="Times New Roman" w:eastAsia="Times New Roman" w:hAnsi="Times New Roman"/>
          <w:sz w:val="18"/>
          <w:szCs w:val="18"/>
          <w:color w:val="auto"/>
        </w:rPr>
        <w:t>Other expense, net for the three months ended September 30, 2026 was $11.1 million compared to other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of $2.3 million during the three months ended September 30, 2025. The unfavorable change was primarily due to exchange rate movements in Bolivia and other foreign currency transactions in the current quarter.</w:t>
      </w:r>
    </w:p>
    <w:p>
      <w:pPr>
        <w:spacing w:after="0" w:line="63"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PROVISION FOR INCOME TAXES </w:t>
      </w:r>
      <w:r>
        <w:rPr>
          <w:rFonts w:ascii="Times New Roman" w:cs="Times New Roman" w:eastAsia="Times New Roman" w:hAnsi="Times New Roman"/>
          <w:sz w:val="18"/>
          <w:szCs w:val="18"/>
          <w:color w:val="auto"/>
        </w:rPr>
        <w:t>The effective income tax rates for the three months ended September 30, 2026 and 2025 were 23.1 percent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26.9 percent, respectively. The year-over-year change is primarily due to favorable geographic earnings mix and lower U.S. tax provided on international earnings, partially offset by a benefit recorded in the prior year quarter for a tax rate change enacted in Germany.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SEGMENT REVIEW</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operate in two reportable segments consisting of Metal Cutting and Infrastructure. Our reportable operating segments have been determined in accordance with our internal management structure, which is organized based on operating activities, the manner in which we organize segments for allocating resources, making operating decisions and assessing performance and the availability of separate financial results. We do not allocate certain corporate expenses related to executive retirement plans, our Board of Directors, strategic initiatives, and certain other costs and report them in Corporate. Our reportable operating segments do not represent the aggregation of two or more operating segments.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Our sales and operating income by segment are as follows:</w:t>
            </w:r>
          </w:p>
        </w:tc>
        <w:tc>
          <w:tcPr>
            <w:tcW w:w="4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900" w:type="dxa"/>
            <w:vAlign w:val="bottom"/>
          </w:tcPr>
          <w:p>
            <w:pPr>
              <w:spacing w:after="0"/>
              <w:rPr>
                <w:sz w:val="18"/>
                <w:szCs w:val="18"/>
                <w:color w:val="auto"/>
              </w:rPr>
            </w:pPr>
          </w:p>
        </w:tc>
        <w:tc>
          <w:tcPr>
            <w:tcW w:w="6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Three Months Ended September</w:t>
            </w:r>
          </w:p>
        </w:tc>
        <w:tc>
          <w:tcPr>
            <w:tcW w:w="0" w:type="dxa"/>
            <w:vAlign w:val="bottom"/>
          </w:tcPr>
          <w:p>
            <w:pPr>
              <w:spacing w:after="0"/>
              <w:rPr>
                <w:sz w:val="1"/>
                <w:szCs w:val="1"/>
                <w:color w:val="auto"/>
              </w:rPr>
            </w:pPr>
          </w:p>
        </w:tc>
      </w:tr>
      <w:tr>
        <w:trPr>
          <w:trHeight w:val="234"/>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000" w:type="dxa"/>
            <w:vAlign w:val="bottom"/>
          </w:tcPr>
          <w:p>
            <w:pPr>
              <w:spacing w:after="0"/>
              <w:rPr>
                <w:sz w:val="20"/>
                <w:szCs w:val="20"/>
                <w:color w:val="auto"/>
              </w:rPr>
            </w:pPr>
          </w:p>
        </w:tc>
        <w:tc>
          <w:tcPr>
            <w:tcW w:w="8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98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auto"/>
            </w:tcBorders>
            <w:vMerge w:val="continue"/>
          </w:tcPr>
          <w:p>
            <w:pPr>
              <w:spacing w:after="0"/>
              <w:rPr>
                <w:sz w:val="19"/>
                <w:szCs w:val="19"/>
                <w:color w:val="auto"/>
              </w:rPr>
            </w:pPr>
          </w:p>
        </w:tc>
        <w:tc>
          <w:tcPr>
            <w:tcW w:w="40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40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Metal Cutting</w:t>
            </w: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398,155</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310,625</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Infrastructure</w:t>
            </w:r>
          </w:p>
        </w:tc>
        <w:tc>
          <w:tcPr>
            <w:tcW w:w="40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370,038</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187,349</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4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768,193</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497,974</w:t>
            </w:r>
          </w:p>
        </w:tc>
        <w:tc>
          <w:tcPr>
            <w:tcW w:w="0" w:type="dxa"/>
            <w:vAlign w:val="bottom"/>
          </w:tcPr>
          <w:p>
            <w:pPr>
              <w:spacing w:after="0"/>
              <w:rPr>
                <w:sz w:val="1"/>
                <w:szCs w:val="1"/>
                <w:color w:val="auto"/>
              </w:rPr>
            </w:pP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0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Metal Cutting</w:t>
            </w: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118,337</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21,564</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Infrastructure</w:t>
            </w:r>
          </w:p>
        </w:tc>
        <w:tc>
          <w:tcPr>
            <w:tcW w:w="40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261,723</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16,639</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40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40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379,251</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37,559</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0" w:type="dxa"/>
            <w:vAlign w:val="bottom"/>
          </w:tcPr>
          <w:p>
            <w:pPr>
              <w:spacing w:after="0"/>
              <w:rPr>
                <w:sz w:val="19"/>
                <w:szCs w:val="19"/>
                <w:color w:val="auto"/>
              </w:rPr>
            </w:pP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11,472</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0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11,063</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356,716</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33,695</w:t>
            </w:r>
          </w:p>
        </w:tc>
        <w:tc>
          <w:tcPr>
            <w:tcW w:w="0" w:type="dxa"/>
            <w:vAlign w:val="bottom"/>
          </w:tcPr>
          <w:p>
            <w:pPr>
              <w:spacing w:after="0"/>
              <w:rPr>
                <w:sz w:val="1"/>
                <w:szCs w:val="1"/>
                <w:color w:val="auto"/>
              </w:rPr>
            </w:pP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METAL CUTTING</w:t>
            </w:r>
          </w:p>
        </w:tc>
        <w:tc>
          <w:tcPr>
            <w:tcW w:w="4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900" w:type="dxa"/>
            <w:vAlign w:val="bottom"/>
          </w:tcPr>
          <w:p>
            <w:pPr>
              <w:spacing w:after="0"/>
              <w:rPr>
                <w:sz w:val="24"/>
                <w:szCs w:val="24"/>
                <w:color w:val="auto"/>
              </w:rPr>
            </w:pPr>
          </w:p>
        </w:tc>
        <w:tc>
          <w:tcPr>
            <w:tcW w:w="6340" w:type="dxa"/>
            <w:vAlign w:val="bottom"/>
            <w:gridSpan w:val="5"/>
          </w:tcPr>
          <w:p>
            <w:pPr>
              <w:jc w:val="right"/>
              <w:ind w:right="9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0" w:type="dxa"/>
            <w:vAlign w:val="bottom"/>
          </w:tcPr>
          <w:p>
            <w:pPr>
              <w:spacing w:after="0"/>
              <w:rPr>
                <w:sz w:val="1"/>
                <w:szCs w:val="1"/>
                <w:color w:val="auto"/>
              </w:rPr>
            </w:pPr>
          </w:p>
        </w:tc>
      </w:tr>
      <w:tr>
        <w:trPr>
          <w:trHeight w:val="234"/>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operating margin)</w:t>
            </w:r>
          </w:p>
        </w:tc>
        <w:tc>
          <w:tcPr>
            <w:tcW w:w="4860" w:type="dxa"/>
            <w:vAlign w:val="bottom"/>
            <w:tcBorders>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40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9"/>
              </w:rPr>
              <w:t>398,155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310,625</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00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118,337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21,564</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40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2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898"/>
        </w:trPr>
        <w:tc>
          <w:tcPr>
            <w:tcW w:w="4900" w:type="dxa"/>
            <w:vAlign w:val="bottom"/>
          </w:tcPr>
          <w:p>
            <w:pPr>
              <w:spacing w:after="0"/>
              <w:rPr>
                <w:sz w:val="24"/>
                <w:szCs w:val="24"/>
                <w:color w:val="auto"/>
              </w:rPr>
            </w:pPr>
          </w:p>
        </w:tc>
        <w:tc>
          <w:tcPr>
            <w:tcW w:w="4000" w:type="dxa"/>
            <w:vAlign w:val="bottom"/>
          </w:tcPr>
          <w:p>
            <w:pPr>
              <w:jc w:val="right"/>
              <w:ind w:right="3090"/>
              <w:spacing w:after="0"/>
              <w:rPr>
                <w:sz w:val="20"/>
                <w:szCs w:val="20"/>
                <w:color w:val="auto"/>
              </w:rPr>
            </w:pPr>
            <w:r>
              <w:rPr>
                <w:rFonts w:ascii="Times New Roman" w:cs="Times New Roman" w:eastAsia="Times New Roman" w:hAnsi="Times New Roman"/>
                <w:sz w:val="18"/>
                <w:szCs w:val="18"/>
                <w:color w:val="auto"/>
              </w:rPr>
              <w:t>23</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ind w:right="116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78105</wp:posOffset>
            </wp:positionV>
            <wp:extent cx="70980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5760" w:type="dxa"/>
            <w:vAlign w:val="bottom"/>
            <w:gridSpan w:val="2"/>
          </w:tcPr>
          <w:p>
            <w:pPr>
              <w:jc w:val="center"/>
              <w:ind w:left="367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4"/>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percentages)</w:t>
            </w:r>
          </w:p>
        </w:tc>
        <w:tc>
          <w:tcPr>
            <w:tcW w:w="5760" w:type="dxa"/>
            <w:vAlign w:val="bottom"/>
            <w:tcBorders>
              <w:bottom w:val="single" w:sz="8" w:color="auto"/>
            </w:tcBorders>
            <w:gridSpan w:val="2"/>
          </w:tcPr>
          <w:p>
            <w:pPr>
              <w:jc w:val="center"/>
              <w:ind w:left="3670"/>
              <w:spacing w:after="0"/>
              <w:rPr>
                <w:sz w:val="20"/>
                <w:szCs w:val="20"/>
                <w:color w:val="auto"/>
              </w:rPr>
            </w:pPr>
            <w:r>
              <w:rPr>
                <w:rFonts w:ascii="Times New Roman" w:cs="Times New Roman" w:eastAsia="Times New Roman" w:hAnsi="Times New Roman"/>
                <w:sz w:val="18"/>
                <w:szCs w:val="18"/>
                <w:color w:val="auto"/>
                <w:w w:val="99"/>
              </w:rPr>
              <w:t>September 30, 2026</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sales growth</w:t>
            </w:r>
          </w:p>
        </w:tc>
        <w:tc>
          <w:tcPr>
            <w:tcW w:w="4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96"/>
              </w:rPr>
              <w:t>29%</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effect</w:t>
            </w:r>
          </w:p>
        </w:tc>
        <w:tc>
          <w:tcPr>
            <w:tcW w:w="4100" w:type="dxa"/>
            <w:vAlign w:val="bottom"/>
          </w:tcPr>
          <w:p>
            <w:pPr>
              <w:spacing w:after="0"/>
              <w:rPr>
                <w:sz w:val="19"/>
                <w:szCs w:val="19"/>
                <w:color w:val="auto"/>
              </w:rPr>
            </w:pPr>
          </w:p>
        </w:tc>
        <w:tc>
          <w:tcPr>
            <w:tcW w:w="16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5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days effect</w:t>
            </w:r>
          </w:p>
        </w:tc>
        <w:tc>
          <w:tcPr>
            <w:tcW w:w="4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95"/>
              </w:rPr>
              <w:t>(1)</w:t>
            </w:r>
          </w:p>
        </w:tc>
      </w:tr>
      <w:tr>
        <w:trPr>
          <w:trHeight w:val="223"/>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Sales growth</w:t>
            </w:r>
          </w:p>
        </w:tc>
        <w:tc>
          <w:tcPr>
            <w:tcW w:w="4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6"/>
              </w:rPr>
              <w:t>28%</w:t>
            </w: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5760" w:type="dxa"/>
            <w:vAlign w:val="bottom"/>
            <w:tcBorders>
              <w:bottom w:val="single" w:sz="8" w:color="auto"/>
            </w:tcBorders>
            <w:gridSpan w:val="2"/>
          </w:tcPr>
          <w:p>
            <w:pPr>
              <w:spacing w:after="0" w:line="20" w:lineRule="exact"/>
              <w:rPr>
                <w:sz w:val="1"/>
                <w:szCs w:val="1"/>
                <w:color w:val="auto"/>
              </w:rPr>
            </w:pPr>
          </w:p>
        </w:tc>
      </w:tr>
      <w:tr>
        <w:trPr>
          <w:trHeight w:val="398"/>
        </w:trPr>
        <w:tc>
          <w:tcPr>
            <w:tcW w:w="5480" w:type="dxa"/>
            <w:vAlign w:val="bottom"/>
          </w:tcPr>
          <w:p>
            <w:pPr>
              <w:spacing w:after="0"/>
              <w:rPr>
                <w:sz w:val="24"/>
                <w:szCs w:val="24"/>
                <w:color w:val="auto"/>
              </w:rPr>
            </w:pPr>
          </w:p>
        </w:tc>
        <w:tc>
          <w:tcPr>
            <w:tcW w:w="5760" w:type="dxa"/>
            <w:vAlign w:val="bottom"/>
            <w:gridSpan w:val="2"/>
          </w:tcPr>
          <w:p>
            <w:pPr>
              <w:jc w:val="center"/>
              <w:ind w:left="2810"/>
              <w:spacing w:after="0"/>
              <w:rPr>
                <w:sz w:val="20"/>
                <w:szCs w:val="20"/>
                <w:color w:val="auto"/>
              </w:rPr>
            </w:pPr>
            <w:r>
              <w:rPr>
                <w:rFonts w:ascii="Times New Roman" w:cs="Times New Roman" w:eastAsia="Times New Roman" w:hAnsi="Times New Roman"/>
                <w:sz w:val="18"/>
                <w:szCs w:val="18"/>
                <w:color w:val="auto"/>
              </w:rPr>
              <w:t>Three Months Ended September 30,</w:t>
            </w:r>
          </w:p>
        </w:tc>
      </w:tr>
      <w:tr>
        <w:trPr>
          <w:trHeight w:val="234"/>
        </w:trPr>
        <w:tc>
          <w:tcPr>
            <w:tcW w:w="54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2026</w:t>
            </w:r>
          </w:p>
        </w:tc>
      </w:tr>
      <w:tr>
        <w:trPr>
          <w:trHeight w:val="238"/>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percentages)</w:t>
            </w:r>
          </w:p>
        </w:tc>
        <w:tc>
          <w:tcPr>
            <w:tcW w:w="4100" w:type="dxa"/>
            <w:vAlign w:val="bottom"/>
            <w:tcBorders>
              <w:bottom w:val="single" w:sz="8" w:color="auto"/>
            </w:tcBorders>
          </w:tcPr>
          <w:p>
            <w:pPr>
              <w:ind w:left="3160"/>
              <w:spacing w:after="0"/>
              <w:rPr>
                <w:sz w:val="20"/>
                <w:szCs w:val="20"/>
                <w:color w:val="auto"/>
              </w:rPr>
            </w:pPr>
            <w:r>
              <w:rPr>
                <w:rFonts w:ascii="Times New Roman" w:cs="Times New Roman" w:eastAsia="Times New Roman" w:hAnsi="Times New Roman"/>
                <w:sz w:val="18"/>
                <w:szCs w:val="18"/>
                <w:color w:val="auto"/>
              </w:rPr>
              <w:t>As Reported</w:t>
            </w:r>
          </w:p>
        </w:tc>
        <w:tc>
          <w:tcPr>
            <w:tcW w:w="1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Constant Currency</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market sales growth:</w:t>
            </w:r>
          </w:p>
        </w:tc>
        <w:tc>
          <w:tcPr>
            <w:tcW w:w="4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Aerospace &amp; Defense</w:t>
            </w:r>
          </w:p>
        </w:tc>
        <w:tc>
          <w:tcPr>
            <w:tcW w:w="4100" w:type="dxa"/>
            <w:vAlign w:val="bottom"/>
          </w:tcPr>
          <w:p>
            <w:pPr>
              <w:jc w:val="center"/>
              <w:ind w:left="3030"/>
              <w:spacing w:after="0"/>
              <w:rPr>
                <w:sz w:val="20"/>
                <w:szCs w:val="20"/>
                <w:color w:val="auto"/>
              </w:rPr>
            </w:pPr>
            <w:r>
              <w:rPr>
                <w:rFonts w:ascii="Times New Roman" w:cs="Times New Roman" w:eastAsia="Times New Roman" w:hAnsi="Times New Roman"/>
                <w:sz w:val="18"/>
                <w:szCs w:val="18"/>
                <w:color w:val="auto"/>
              </w:rPr>
              <w:t>31%</w:t>
            </w:r>
          </w:p>
        </w:tc>
        <w:tc>
          <w:tcPr>
            <w:tcW w:w="1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6"/>
              </w:rPr>
              <w:t>32%</w:t>
            </w:r>
          </w:p>
        </w:tc>
      </w:tr>
      <w:tr>
        <w:trPr>
          <w:trHeight w:val="230"/>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Energy</w:t>
            </w:r>
          </w:p>
        </w:tc>
        <w:tc>
          <w:tcPr>
            <w:tcW w:w="4100" w:type="dxa"/>
            <w:vAlign w:val="bottom"/>
            <w:shd w:val="clear" w:color="auto" w:fill="CCEEFF"/>
          </w:tcPr>
          <w:p>
            <w:pPr>
              <w:jc w:val="center"/>
              <w:ind w:left="3030"/>
              <w:spacing w:after="0"/>
              <w:rPr>
                <w:sz w:val="20"/>
                <w:szCs w:val="20"/>
                <w:color w:val="auto"/>
              </w:rPr>
            </w:pPr>
            <w:r>
              <w:rPr>
                <w:rFonts w:ascii="Times New Roman" w:cs="Times New Roman" w:eastAsia="Times New Roman" w:hAnsi="Times New Roman"/>
                <w:sz w:val="18"/>
                <w:szCs w:val="18"/>
                <w:color w:val="auto"/>
                <w:w w:val="99"/>
              </w:rPr>
              <w:t>42</w:t>
            </w:r>
          </w:p>
        </w:tc>
        <w:tc>
          <w:tcPr>
            <w:tcW w:w="166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40</w:t>
            </w:r>
          </w:p>
        </w:tc>
      </w:tr>
      <w:tr>
        <w:trPr>
          <w:trHeight w:val="229"/>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4100" w:type="dxa"/>
            <w:vAlign w:val="bottom"/>
          </w:tcPr>
          <w:p>
            <w:pPr>
              <w:jc w:val="center"/>
              <w:ind w:left="3030"/>
              <w:spacing w:after="0"/>
              <w:rPr>
                <w:sz w:val="20"/>
                <w:szCs w:val="20"/>
                <w:color w:val="auto"/>
              </w:rPr>
            </w:pPr>
            <w:r>
              <w:rPr>
                <w:rFonts w:ascii="Times New Roman" w:cs="Times New Roman" w:eastAsia="Times New Roman" w:hAnsi="Times New Roman"/>
                <w:sz w:val="18"/>
                <w:szCs w:val="18"/>
                <w:color w:val="auto"/>
                <w:w w:val="99"/>
              </w:rPr>
              <w:t>11</w:t>
            </w:r>
          </w:p>
        </w:tc>
        <w:tc>
          <w:tcPr>
            <w:tcW w:w="16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11</w:t>
            </w:r>
          </w:p>
        </w:tc>
      </w:tr>
      <w:tr>
        <w:trPr>
          <w:trHeight w:val="229"/>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Engineering</w:t>
            </w:r>
          </w:p>
        </w:tc>
        <w:tc>
          <w:tcPr>
            <w:tcW w:w="4100" w:type="dxa"/>
            <w:vAlign w:val="bottom"/>
            <w:shd w:val="clear" w:color="auto" w:fill="CCEEFF"/>
          </w:tcPr>
          <w:p>
            <w:pPr>
              <w:jc w:val="center"/>
              <w:ind w:left="3030"/>
              <w:spacing w:after="0"/>
              <w:rPr>
                <w:sz w:val="20"/>
                <w:szCs w:val="20"/>
                <w:color w:val="auto"/>
              </w:rPr>
            </w:pPr>
            <w:r>
              <w:rPr>
                <w:rFonts w:ascii="Times New Roman" w:cs="Times New Roman" w:eastAsia="Times New Roman" w:hAnsi="Times New Roman"/>
                <w:sz w:val="18"/>
                <w:szCs w:val="18"/>
                <w:color w:val="auto"/>
                <w:w w:val="99"/>
              </w:rPr>
              <w:t>34</w:t>
            </w:r>
          </w:p>
        </w:tc>
        <w:tc>
          <w:tcPr>
            <w:tcW w:w="166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34</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Regional sales growth:</w:t>
            </w:r>
          </w:p>
        </w:tc>
        <w:tc>
          <w:tcPr>
            <w:tcW w:w="4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4100" w:type="dxa"/>
            <w:vAlign w:val="bottom"/>
            <w:shd w:val="clear" w:color="auto" w:fill="CCEEFF"/>
          </w:tcPr>
          <w:p>
            <w:pPr>
              <w:jc w:val="center"/>
              <w:ind w:left="3030"/>
              <w:spacing w:after="0"/>
              <w:rPr>
                <w:sz w:val="20"/>
                <w:szCs w:val="20"/>
                <w:color w:val="auto"/>
              </w:rPr>
            </w:pPr>
            <w:r>
              <w:rPr>
                <w:rFonts w:ascii="Times New Roman" w:cs="Times New Roman" w:eastAsia="Times New Roman" w:hAnsi="Times New Roman"/>
                <w:sz w:val="18"/>
                <w:szCs w:val="18"/>
                <w:color w:val="auto"/>
              </w:rPr>
              <w:t>42%</w:t>
            </w:r>
          </w:p>
        </w:tc>
        <w:tc>
          <w:tcPr>
            <w:tcW w:w="166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40%</w:t>
            </w:r>
          </w:p>
        </w:tc>
      </w:tr>
      <w:tr>
        <w:trPr>
          <w:trHeight w:val="230"/>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4100" w:type="dxa"/>
            <w:vAlign w:val="bottom"/>
          </w:tcPr>
          <w:p>
            <w:pPr>
              <w:jc w:val="center"/>
              <w:ind w:left="3030"/>
              <w:spacing w:after="0"/>
              <w:rPr>
                <w:sz w:val="20"/>
                <w:szCs w:val="20"/>
                <w:color w:val="auto"/>
              </w:rPr>
            </w:pPr>
            <w:r>
              <w:rPr>
                <w:rFonts w:ascii="Times New Roman" w:cs="Times New Roman" w:eastAsia="Times New Roman" w:hAnsi="Times New Roman"/>
                <w:sz w:val="18"/>
                <w:szCs w:val="18"/>
                <w:color w:val="auto"/>
                <w:w w:val="99"/>
              </w:rPr>
              <w:t>11</w:t>
            </w:r>
          </w:p>
        </w:tc>
        <w:tc>
          <w:tcPr>
            <w:tcW w:w="16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12</w:t>
            </w:r>
          </w:p>
        </w:tc>
      </w:tr>
      <w:tr>
        <w:trPr>
          <w:trHeight w:val="229"/>
        </w:trPr>
        <w:tc>
          <w:tcPr>
            <w:tcW w:w="54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Asia Pacific</w:t>
            </w:r>
          </w:p>
        </w:tc>
        <w:tc>
          <w:tcPr>
            <w:tcW w:w="4100" w:type="dxa"/>
            <w:vAlign w:val="bottom"/>
            <w:tcBorders>
              <w:bottom w:val="single" w:sz="8" w:color="auto"/>
            </w:tcBorders>
            <w:shd w:val="clear" w:color="auto" w:fill="CCEEFF"/>
          </w:tcPr>
          <w:p>
            <w:pPr>
              <w:jc w:val="center"/>
              <w:ind w:left="3030"/>
              <w:spacing w:after="0"/>
              <w:rPr>
                <w:sz w:val="20"/>
                <w:szCs w:val="20"/>
                <w:color w:val="auto"/>
              </w:rPr>
            </w:pPr>
            <w:r>
              <w:rPr>
                <w:rFonts w:ascii="Times New Roman" w:cs="Times New Roman" w:eastAsia="Times New Roman" w:hAnsi="Times New Roman"/>
                <w:sz w:val="18"/>
                <w:szCs w:val="18"/>
                <w:color w:val="auto"/>
                <w:w w:val="99"/>
              </w:rPr>
              <w:t>28</w:t>
            </w:r>
          </w:p>
        </w:tc>
        <w:tc>
          <w:tcPr>
            <w:tcW w:w="1660" w:type="dxa"/>
            <w:vAlign w:val="bottom"/>
            <w:tcBorders>
              <w:bottom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30</w:t>
            </w:r>
          </w:p>
        </w:tc>
      </w:tr>
    </w:tbl>
    <w:p>
      <w:pPr>
        <w:spacing w:after="0" w:line="200" w:lineRule="exact"/>
        <w:rPr>
          <w:sz w:val="20"/>
          <w:szCs w:val="20"/>
          <w:color w:val="auto"/>
        </w:rPr>
      </w:pPr>
    </w:p>
    <w:p>
      <w:pPr>
        <w:spacing w:after="0" w:line="3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2026, Metal Cutting sales increased 28 percent compared to the prior year quarter. The increase was driven by organic sales growth of 29 percent, partially offset by an unfavorable business days effect of 1 percent. General Engineering end market sales increased primarily due to pricing and share gain within the indirect channel. Sales in the Aerospace &amp; Defense end market increased as a result of pricing, improved build rates, and our global strategic focus, primarily in EMEA. Energy end market sales increased in all regions and primarily in the Americas due to strategic focus in the power generation market and pricing. Transportation end market sales increased primarily due to pricing, partially offset by weaker vehicle production, particularly in EMEA.</w:t>
      </w:r>
    </w:p>
    <w:p>
      <w:pPr>
        <w:spacing w:after="0" w:line="7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2026, sales increased across all regions. Sales increased in the Americas primarily due to pricing and indirect channel demand within General Engineering, data center power generation initiatives in Energy, and improving build rates in Aerospace &amp; Defense. Sales growth in EMEA was driven primarily by pricing and our global strategic focus on Aerospace &amp; Defense. The sales increase in Asia Pacific was driven primarily by pricing and demand within the indirect channel in General Engineering and our global strategic focus on Aerospace &amp; Defense.</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2026, Metal Cutting operating income was $118.3 million compared to $21.6 million in the prior year quarter. The increase in operating income was driven by the favorable timing of raw material-related pricing compared to costs of approximately $65 million, non-raw material-related pricing and tariff income, higher sales and production volumes and incremental year-over-year restructuring savings of approximately $2 million. These factors were partially offset by an impairment of an equity investment of approximately $5 million, higher compensation costs, and tariffs and general inflation in the current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ind w:right="116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78105</wp:posOffset>
            </wp:positionV>
            <wp:extent cx="709803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INFRASTRUCTURE</w:t>
            </w:r>
          </w:p>
        </w:tc>
        <w:tc>
          <w:tcPr>
            <w:tcW w:w="3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60"/>
        </w:trPr>
        <w:tc>
          <w:tcPr>
            <w:tcW w:w="53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Three Months Ended September 30,</w:t>
            </w:r>
          </w:p>
        </w:tc>
      </w:tr>
      <w:tr>
        <w:trPr>
          <w:trHeight w:val="234"/>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370,038</w:t>
            </w:r>
          </w:p>
        </w:tc>
        <w:tc>
          <w:tcPr>
            <w:tcW w:w="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187,349</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60" w:type="dxa"/>
            <w:vAlign w:val="bottom"/>
          </w:tcPr>
          <w:p>
            <w:pPr>
              <w:spacing w:after="0"/>
              <w:rPr>
                <w:sz w:val="19"/>
                <w:szCs w:val="19"/>
                <w:color w:val="auto"/>
              </w:rPr>
            </w:pPr>
          </w:p>
        </w:tc>
        <w:tc>
          <w:tcPr>
            <w:tcW w:w="12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261,723</w:t>
            </w:r>
          </w:p>
        </w:tc>
        <w:tc>
          <w:tcPr>
            <w:tcW w:w="24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16,639</w:t>
            </w:r>
          </w:p>
        </w:tc>
      </w:tr>
      <w:tr>
        <w:trPr>
          <w:trHeight w:val="229"/>
        </w:trPr>
        <w:tc>
          <w:tcPr>
            <w:tcW w:w="5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0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70.7 %</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615"/>
        </w:trPr>
        <w:tc>
          <w:tcPr>
            <w:tcW w:w="53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2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43"/>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percentages)</w:t>
            </w:r>
          </w:p>
        </w:tc>
        <w:tc>
          <w:tcPr>
            <w:tcW w:w="306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September 30, 2026</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sales growth</w:t>
            </w:r>
          </w:p>
        </w:tc>
        <w:tc>
          <w:tcPr>
            <w:tcW w:w="30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830"/>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effect</w:t>
            </w:r>
          </w:p>
        </w:tc>
        <w:tc>
          <w:tcPr>
            <w:tcW w:w="3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days effect</w:t>
            </w:r>
          </w:p>
        </w:tc>
        <w:tc>
          <w:tcPr>
            <w:tcW w:w="30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right="830"/>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Sales growth</w:t>
            </w:r>
          </w:p>
        </w:tc>
        <w:tc>
          <w:tcPr>
            <w:tcW w:w="30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rPr>
              <w:t>98%</w:t>
            </w:r>
          </w:p>
        </w:tc>
      </w:tr>
      <w:tr>
        <w:trPr>
          <w:trHeight w:val="21"/>
        </w:trPr>
        <w:tc>
          <w:tcPr>
            <w:tcW w:w="536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gridSpan w:val="3"/>
          </w:tcPr>
          <w:p>
            <w:pPr>
              <w:spacing w:after="0" w:line="20" w:lineRule="exact"/>
              <w:rPr>
                <w:sz w:val="1"/>
                <w:szCs w:val="1"/>
                <w:color w:val="auto"/>
              </w:rPr>
            </w:pPr>
          </w:p>
        </w:tc>
      </w:tr>
      <w:tr>
        <w:trPr>
          <w:trHeight w:val="398"/>
        </w:trPr>
        <w:tc>
          <w:tcPr>
            <w:tcW w:w="53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2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Three Months Ended September 30,</w:t>
            </w:r>
          </w:p>
        </w:tc>
      </w:tr>
      <w:tr>
        <w:trPr>
          <w:trHeight w:val="234"/>
        </w:trPr>
        <w:tc>
          <w:tcPr>
            <w:tcW w:w="53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40" w:type="dxa"/>
            <w:vAlign w:val="bottom"/>
            <w:gridSpan w:val="2"/>
          </w:tcPr>
          <w:p>
            <w:pPr>
              <w:jc w:val="center"/>
              <w:ind w:right="1090"/>
              <w:spacing w:after="0"/>
              <w:rPr>
                <w:sz w:val="20"/>
                <w:szCs w:val="20"/>
                <w:color w:val="auto"/>
              </w:rPr>
            </w:pPr>
            <w:r>
              <w:rPr>
                <w:rFonts w:ascii="Times New Roman" w:cs="Times New Roman" w:eastAsia="Times New Roman" w:hAnsi="Times New Roman"/>
                <w:sz w:val="18"/>
                <w:szCs w:val="18"/>
                <w:color w:val="auto"/>
                <w:w w:val="99"/>
              </w:rPr>
              <w:t>2026</w:t>
            </w:r>
          </w:p>
        </w:tc>
      </w:tr>
      <w:tr>
        <w:trPr>
          <w:trHeight w:val="184"/>
        </w:trPr>
        <w:tc>
          <w:tcPr>
            <w:tcW w:w="53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230"/>
              <w:spacing w:after="0" w:line="184" w:lineRule="exact"/>
              <w:rPr>
                <w:sz w:val="20"/>
                <w:szCs w:val="20"/>
                <w:color w:val="auto"/>
              </w:rPr>
            </w:pPr>
            <w:r>
              <w:rPr>
                <w:rFonts w:ascii="Times New Roman" w:cs="Times New Roman" w:eastAsia="Times New Roman" w:hAnsi="Times New Roman"/>
                <w:sz w:val="18"/>
                <w:szCs w:val="18"/>
                <w:color w:val="auto"/>
              </w:rPr>
              <w:t>Constant</w:t>
            </w:r>
          </w:p>
        </w:tc>
      </w:tr>
      <w:tr>
        <w:trPr>
          <w:trHeight w:val="243"/>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percentages)</w:t>
            </w:r>
          </w:p>
        </w:tc>
        <w:tc>
          <w:tcPr>
            <w:tcW w:w="30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As Reported</w:t>
            </w: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Currency</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market sales growth:</w:t>
            </w:r>
          </w:p>
        </w:tc>
        <w:tc>
          <w:tcPr>
            <w:tcW w:w="30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Aerospace &amp; Defense</w:t>
            </w:r>
          </w:p>
        </w:tc>
        <w:tc>
          <w:tcPr>
            <w:tcW w:w="3060" w:type="dxa"/>
            <w:vAlign w:val="bottom"/>
          </w:tcPr>
          <w:p>
            <w:pPr>
              <w:spacing w:after="0"/>
              <w:rPr>
                <w:sz w:val="19"/>
                <w:szCs w:val="19"/>
                <w:color w:val="auto"/>
              </w:rPr>
            </w:pPr>
          </w:p>
        </w:tc>
        <w:tc>
          <w:tcPr>
            <w:tcW w:w="12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123%</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r>
      <w:tr>
        <w:trPr>
          <w:trHeight w:val="230"/>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Energy</w:t>
            </w:r>
          </w:p>
        </w:tc>
        <w:tc>
          <w:tcPr>
            <w:tcW w:w="306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6"/>
              </w:rPr>
              <w:t>180</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180</w:t>
            </w:r>
          </w:p>
        </w:tc>
      </w:tr>
      <w:tr>
        <w:trPr>
          <w:trHeight w:val="230"/>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Engineering</w:t>
            </w:r>
          </w:p>
        </w:tc>
        <w:tc>
          <w:tcPr>
            <w:tcW w:w="3060" w:type="dxa"/>
            <w:vAlign w:val="bottom"/>
          </w:tcPr>
          <w:p>
            <w:pPr>
              <w:spacing w:after="0"/>
              <w:rPr>
                <w:sz w:val="19"/>
                <w:szCs w:val="19"/>
                <w:color w:val="auto"/>
              </w:rPr>
            </w:pPr>
          </w:p>
        </w:tc>
        <w:tc>
          <w:tcPr>
            <w:tcW w:w="12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50</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29"/>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Earthworks</w:t>
            </w:r>
          </w:p>
        </w:tc>
        <w:tc>
          <w:tcPr>
            <w:tcW w:w="306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84</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Regional sales growth:</w:t>
            </w:r>
          </w:p>
        </w:tc>
        <w:tc>
          <w:tcPr>
            <w:tcW w:w="3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306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123%</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w:t>
            </w:r>
          </w:p>
        </w:tc>
      </w:tr>
      <w:tr>
        <w:trPr>
          <w:trHeight w:val="230"/>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3060" w:type="dxa"/>
            <w:vAlign w:val="bottom"/>
          </w:tcPr>
          <w:p>
            <w:pPr>
              <w:spacing w:after="0"/>
              <w:rPr>
                <w:sz w:val="19"/>
                <w:szCs w:val="19"/>
                <w:color w:val="auto"/>
              </w:rPr>
            </w:pPr>
          </w:p>
        </w:tc>
        <w:tc>
          <w:tcPr>
            <w:tcW w:w="12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96</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r>
      <w:tr>
        <w:trPr>
          <w:trHeight w:val="230"/>
        </w:trPr>
        <w:tc>
          <w:tcPr>
            <w:tcW w:w="53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Asia Pacific</w:t>
            </w:r>
          </w:p>
        </w:tc>
        <w:tc>
          <w:tcPr>
            <w:tcW w:w="30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35</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bl>
    <w:p>
      <w:pPr>
        <w:spacing w:after="0" w:line="200" w:lineRule="exact"/>
        <w:rPr>
          <w:sz w:val="20"/>
          <w:szCs w:val="20"/>
          <w:color w:val="auto"/>
        </w:rPr>
      </w:pPr>
    </w:p>
    <w:p>
      <w:pPr>
        <w:spacing w:after="0" w:line="322"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For the three months ended September 30, 2026, Infrastructure sales increased 98 percent from the prior year quarter. The increase was driven by organic sales growth of 97 percent and a favorable currency exchange effect of 1 percent. Energy end market sales increased primarily due to pricing, partially offset by lower volume. Earthworks end market sales increased in all regions as a result of pricing, partially offset by lower volume due to price sensitivity and a mine incident in China. Sales in the General Engineering end market increased due to pricing, partially offset by lower volumes in the Americas. Aerospace &amp; Defense end market sales increased primarily in EMEA and the Americas as a result of pricing and the execution of our growth initiatives.</w:t>
      </w:r>
    </w:p>
    <w:p>
      <w:pPr>
        <w:spacing w:after="0" w:line="6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a regional basis, sales in the Americas increased in all end markets primarily due to pricing, partially offset by lower volume especially in Earthworks and Energy. Sales in EMEA increased as a result of pricing and the execution of our growth initiatives in Aerospace &amp; Defense. Sales in Asia Pacific increased primarily due to pricing.</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2026, Infrastructure operating income was $261.7 million compared to $16.6 million in the prior year quarter. The increase in operating income was driven by the favorable timing of raw material-related pricing compared to costs of approximately $258 million, non-raw material-related pricing, and an incremental benefit of approximately $4 million from an advanced manufacturing production credit under the Inflation Reduction Act. These factors were partially offset by lower sales and production volumes, tariffs and general inflation, higher compensation costs, and a charge of approximately $3 million related to the write-off of certain fixed assets in the current quarter.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ind w:right="116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78105</wp:posOffset>
            </wp:positionV>
            <wp:extent cx="709803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3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60"/>
        </w:trPr>
        <w:tc>
          <w:tcPr>
            <w:tcW w:w="46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12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Three Months Ended September 30,</w:t>
            </w:r>
          </w:p>
        </w:tc>
      </w:tr>
      <w:tr>
        <w:trPr>
          <w:trHeight w:val="234"/>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5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w:t>
            </w:r>
          </w:p>
        </w:tc>
        <w:tc>
          <w:tcPr>
            <w:tcW w:w="35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September 30, 2026, Corporate expense increased $0.2 million from the prior year quarter.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May 2026, the Company completed refinancing transactions designed to enhance liquidity, extend debt maturities and increase financial flexibility. The Company issued $300.0 million of 5.800% Senior Unsecured Notes due 2036 (the "2036 Notes"). Net proceeds from the 2036 Notes were used to fund a tender offer for the Company's outstanding 4.625 percent Senior Unsecured Notes due 2028 (the "2028 Notes"). The tender offer resulted in the repurchase of $209.4 million out of the total $300.0 million aggregate principal of the 2028 Notes. The 2028 Notes were fully redeemed on July 1, 2026 for $91.0 million including a redemption premium.</w:t>
      </w:r>
    </w:p>
    <w:p>
      <w:pPr>
        <w:spacing w:after="0" w:line="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these transactions, the Company also entered into a new $500.0 million delayed-draw three-year term loan (the "Term Loan") and amended its Credit Agreement to increase aggregate commitments by $200.0 million. The Company has fully drawn on the Term Loan as of September 30, 2026.</w:t>
      </w:r>
    </w:p>
    <w:p>
      <w:pPr>
        <w:spacing w:after="0" w:line="68"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During fiscal 2026, we entered into the Seventh Amended and Restated Credit Agreement dated as of November 17, 2025 (the Credit Agreement). The Credit Agreement is a five-year, multi-currency, revolving credit facility, which we use to augment cash from operations and as an additional source of funds. The Credit Agreement allows for borrowings in U.S. dollars, Canadian dollars, euros, pounds sterling and Japanese yen. Interest payable under the Credit Agreement is based upon the type of borrowing under the facility and may be (1) Euro Interbank Offered Rate (EURIBOR), Sterling Overnight Index Average (SONIA), Canadian Overnight Repo Rate Average (CORRA), Tokyo Interbank Offered Rate (TIBOR) and Secured Overnight Financing Rate (SOFR) for any borrowings in euros, pounds sterling, Canadian dollars, yen and U.S. dollars, respectively, plus an applicable margin, (2) the greater of the prime rate or the Federal Funds effective rate plus an applicable margin, or (3) fixed as negotiated by us. The Credit Agreement matures in November 2030.</w:t>
      </w:r>
    </w:p>
    <w:p>
      <w:pPr>
        <w:spacing w:after="0" w:line="8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Credit Agreement requires us to comply with various restrictive and affirmative covenants, including one financial covenant: a maximum leverage ratio where debt, net of domestic cash and sixty percent of the unrestricted cash held outside of the United States, must be less than or equal to 3.75 times trailing twelve months EBITDA, adjusted for certain non-cash expenses.</w:t>
      </w:r>
    </w:p>
    <w:p>
      <w:pPr>
        <w:spacing w:after="0" w:line="6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September 30, 2026, we were in compliance with all the covenants of the Credit Agreement, and there were no borrowings outstanding and $850.0 million of additional availability. There were borrowings outstanding of $20.0 million as of June 30, 2026.</w:t>
      </w:r>
    </w:p>
    <w:p>
      <w:pPr>
        <w:spacing w:after="0" w:line="5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consider the majority of the unremitted earnings of our non-U.S. subsidiaries to be permanently reinvested. With regard to these unremitted earnings, we have not, nor do we anticipate the need to, repatriate funds to the U.S. to satisfy domestic liquidity needs arising in the ordinary course of business, including liquidity needs associated with our domestic debt service requirements. With regard to the small portion of unremitted earnings that are not indefinitely reinvested, we maintain a deferred tax liability for foreign withholding and U.S. state income taxes.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2026, cash and cash equivalents were $272.8 million. Total Kennametal shareholders' equity was $1,823.1 million and total debt was</w:t>
      </w:r>
    </w:p>
    <w:p>
      <w:pPr>
        <w:spacing w:after="0" w:line="27"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$1,134.0 million. Our current senior credit ratings are at investment grade levels. We believe that our current financial position, liquidity and credit ratings provide us access to the capital markets. We believe that we have sufficient resources available to meet cash requirements for the next 12 months. We continue to closely monitor our liquidity position and the condition of the capital markets, as well as the counterparty risk of our credit providers. Other than the financing activities mentioned above, there have been no material changes in our contractual obligations and commitments since June 30, 2026.</w:t>
      </w:r>
    </w:p>
    <w:p>
      <w:pPr>
        <w:spacing w:after="0" w:line="62"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 Repurchase Program </w:t>
      </w:r>
      <w:r>
        <w:rPr>
          <w:rFonts w:ascii="Times New Roman" w:cs="Times New Roman" w:eastAsia="Times New Roman" w:hAnsi="Times New Roman"/>
          <w:sz w:val="18"/>
          <w:szCs w:val="18"/>
          <w:color w:val="auto"/>
        </w:rPr>
        <w:t>In February 2024, the Board of Directors of the Company authorized a $200 million, three-year share repurchase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outside of the Company's dividend reinvestment program. The Company has currently paused activity under the share repurchase program. The Company expects to reassess repurchase activity as operating cash flow generation improves.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ind w:right="116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78105</wp:posOffset>
            </wp:positionV>
            <wp:extent cx="709803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580"/>
        <w:spacing w:after="0" w:line="376"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During the three months ended September 30, 2026, the Company paid a total of $15.2 million in dividends to Kennametal Shareholders.</w:t>
      </w:r>
      <w:r>
        <w:rPr>
          <w:rFonts w:ascii="Times New Roman" w:cs="Times New Roman" w:eastAsia="Times New Roman" w:hAnsi="Times New Roman"/>
          <w:sz w:val="18"/>
          <w:szCs w:val="18"/>
          <w:i w:val="1"/>
          <w:iCs w:val="1"/>
          <w:color w:val="auto"/>
        </w:rPr>
        <w:t xml:space="preserve"> Cash Flow (Used in) Provided by Operating Activities</w:t>
      </w:r>
    </w:p>
    <w:p>
      <w:pPr>
        <w:spacing w:after="0" w:line="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2026, cash flow used in operating activities was $201.3 million, compared to cash flow provided by operating activities of $17.5 million for the prior year period. Cash flow used in operating activities for the current year period consisted of net income and non-cash items amounting to $339.3 million and changes in certain assets and liabilities netting to an outflow of $540.6 million. Contributing to the changes in certain assets and liabilities were an increase in inventories of $516.0 million, an increase in other current assets of $51.2 million, an increase in accounts receivable of $22.1 million, and a decrease in accounts payable and accrued liabilities of $13.1 million. Partially offsetting these cash outflows was an increase in accrued income taxes of $57.9 million.</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2025, cash flow provided by operating activities was $17.5 million and consisted of net income and non-cash items amounting to $70.3 million and changes in certain assets and liabilities netting to an outflow of $52.8 million. Contributing to the changes in certain assets and liabilities were an increase in inventories of $28.0 million, an increase in other, primarily prepaid assets, of $15.1 million and a decrease in accounts payable and accrued liabilities of $13.5 million. Partially offsetting these cash outflows was a decrease in accounts receivable of $7.0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Used in Investing Activities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Cash flow used in investing activities was $13.3 million for the three months ended September 30, 2026, compared to $22.7 million for the prior year period. During the current year period, cash flow used in investing activities included capital expenditures of $10.8 million, which consisted primarily of equipment upgrades, and an investment in a strategic partnership of approximately $3 million included in other, partially offset by proceeds from disposals of $0.4 million.</w:t>
      </w:r>
    </w:p>
    <w:p>
      <w:pPr>
        <w:spacing w:after="0" w:line="7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Cash flow used in investing activities was $22.7 million for the three months ended September 30, 2025, and included capital expenditures of $23.0 million, which consisted primarily of equipment upgrades.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Provided by (Used in) Financing Activities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Cash flow provided by financing activities was $391.1 million for the three months ended September 30, 2026 compared to cash flow used in financing activities of $31.1 million in the prior year period. During the current year period, cash flow provided by financing activities primarily included proceeds of $500.0 million from the draw on the Term Loan and an increase in notes payable of $28.1 million, partially offset by the redemption of the remaining $90.6 million aggregate principal amount of 2028 Notes, the repayment of $20.0 million under the Credit Agreement, $15.2 million of cash dividends paid to Kennametal Shareholders and $11.1 million of the effect of employee benefit and stock plans and dividend reinvestment.</w:t>
      </w:r>
    </w:p>
    <w:p>
      <w:pPr>
        <w:spacing w:after="0" w:line="75"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Cash flow used in financing activities was $31.1 million for the three months ended September 30, 2025 and primarily included $15.1 million of cash dividends paid to Kennametal Shareholders, $10.0 million in common shares repurchased and $6.3 million of the effect of employee benefit and stock plans and dividend reinvestment.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CONDITION</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Working capital was $1,788.5 million at September 30, 2026, an increase of $693.5 million from $1,095.1 million at June 30, 2026. The increase in working capital was primarily driven by an increase in inventories of $507.5 million resulting from rising tungsten prices, an increase in cash and cash equivalents of $177.0 million, an increase in other current assets of $41.7 million, which consisted primarily of prepaid assets and advance payments made to certain vendors to secure raw material supply, an increase in accounts receivable of $21.4 million, a decrease in accrued expenses of $16.4 million and a decrease in other current liabilities of $14.2 million, partially offset by an increase in accrued income taxes of $59.4 million, an increase in accounts payable of $17.3 million and an increase in revolving and other lines of credit and notes payable of $7.8 million. Currency exchange rate effects decreased working capital by a total of approximately $2.3 million, the effects of which are included in the aforementioned changes.</w:t>
      </w:r>
    </w:p>
    <w:p>
      <w:pPr>
        <w:spacing w:after="0" w:line="8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Property, plant and equipment, net decreased $23.5 million from $843.6 million at June 30, 2026 to $820.1 million at September 30, 2026, primarily due to depreciation expense of $31.7 million and currency exchange effects of $1.0 million, partially offset by net capital additions of $10.4 million.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ind w:right="116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78105</wp:posOffset>
            </wp:positionV>
            <wp:extent cx="709803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At September 30, 2026, total other assets were $540.8 million, a decrease of $10.6 million from $551.4 million at June 30, 2026. The decrease was primarily due to a decrease in other assets of $4.2 million, which consisted primarily of pension assets and long-term prepaid assets, and amortization of intangibles of $2.2 million. Currency exchange rate effects decreased other assets by a total of approximately $2.5 million, the effects of which are included in the aforementioned changes.</w:t>
      </w:r>
    </w:p>
    <w:p>
      <w:pPr>
        <w:spacing w:after="0" w:line="7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Kennametal Shareholders' equity was $1,823.1 million at September 30, 2026, an increase of $253.3 million from $1,569.8 million at June 30, 2026. The increase was primarily due to net income attributable to Kennametal of $271.6 million and capital stock issued under employee benefit and stock plans of $0.2 million, partially offset by cash dividends paid to Kennametal Shareholders of $15.2 million and other comprehensive loss attributable to Kennametal of $2.8 million.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DISCUSSION OF CRITICAL ACCOUNTING POLICIES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changes to our critical accounting policies since June 30, 2026.</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RECONCILIATION OF FINANCIAL MEASURES NOT DEFINED BY U.S. GAAP</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accordance with SEC rules, below are the definitions of the non-GAAP financial measures we use in this report and the reconciliation of these measures to the most closely related GAAP financial measures. We believe that these measures provide useful perspective on underlying business trends and results and provide a supplemental measure of year-over-year results. The non-GAAP financial measures described below are used by management in making operating decisions, allocating financial resources and for business strategy purposes. We believe these measures may be useful to investors as they provide supplemental information about business performance and provide investors a view of our business results through the eyes of management. These non-GAAP financial measures are not intended to be considered by the user in place of the related GAAP financial measure, but rather as supplemental information to our business results. These non-GAAP financial measures may not be the same as similar measures used by other companies due to possible differences in method and in the items or events being adjusted.</w:t>
      </w:r>
    </w:p>
    <w:p>
      <w:pPr>
        <w:spacing w:after="0" w:line="8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Organic sales growth </w:t>
      </w:r>
      <w:r>
        <w:rPr>
          <w:rFonts w:ascii="Times New Roman" w:cs="Times New Roman" w:eastAsia="Times New Roman" w:hAnsi="Times New Roman"/>
          <w:sz w:val="18"/>
          <w:szCs w:val="18"/>
          <w:color w:val="auto"/>
        </w:rPr>
        <w:t>Organic sales growth is a non-GAAP financial measure of sales growth (which is the most directly comparable GAAP measure)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the effects of acquisitions, divestitures, business days and foreign currency exchange from year-over-year comparisons. We believe this measure provides investors with a supplemental understanding of underlying sales trends by providing sales growth on a consistent basis. Also, we report organic sales growth at the consolidated and segment levels.</w:t>
      </w:r>
    </w:p>
    <w:p>
      <w:pPr>
        <w:spacing w:after="0" w:line="7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Constant currency end market sales growth </w:t>
      </w:r>
      <w:r>
        <w:rPr>
          <w:rFonts w:ascii="Times New Roman" w:cs="Times New Roman" w:eastAsia="Times New Roman" w:hAnsi="Times New Roman"/>
          <w:sz w:val="18"/>
          <w:szCs w:val="18"/>
          <w:color w:val="auto"/>
        </w:rPr>
        <w:t>Constant currency end market sales growth is a non-GAAP financial measure of sales growth (which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most directly comparable GAAP measure) by end market excluding the effects of acquisitions, divestitures and foreign currency exchange from year-over-year comparisons. We note that, unlike organic sales growth, constant currency end market sales growth does not exclude the effect of business days. We believe this measure provides investors with a supplemental understanding of underlying end market trends by providing end market sales growth on a consistent basis. Also, we report constant currency end market sales growth at the consolidated and segment levels.</w:t>
      </w:r>
    </w:p>
    <w:p>
      <w:pPr>
        <w:spacing w:after="0" w:line="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Constant currency regional sales growth </w:t>
      </w:r>
      <w:r>
        <w:rPr>
          <w:rFonts w:ascii="Times New Roman" w:cs="Times New Roman" w:eastAsia="Times New Roman" w:hAnsi="Times New Roman"/>
          <w:sz w:val="18"/>
          <w:szCs w:val="18"/>
          <w:color w:val="auto"/>
        </w:rPr>
        <w:t>Constant currency regional sales growth is a non-GAAP financial measure of sales growth (which is the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comparable GAAP measure) by region excluding the effects of acquisitions, divestitures and foreign currency exchange from year-over-year comparisons. We note that, unlike organic sales growth, constant currency regional sales growth does not exclude the effect of business days. We believe this measure provides investors with a supplemental understanding of underlying regional trends by providing regional sales growth on a consistent basis. Also, we report constant currency regional sales growth at the consolidated and segment levels.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Reconciliations of organic sales growth to sales growth are as follows:</w:t>
            </w:r>
          </w:p>
        </w:tc>
        <w:tc>
          <w:tcPr>
            <w:tcW w:w="2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4"/>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2026</w:t>
            </w:r>
          </w:p>
        </w:tc>
        <w:tc>
          <w:tcPr>
            <w:tcW w:w="22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Metal Cutting</w:t>
            </w:r>
          </w:p>
        </w:tc>
        <w:tc>
          <w:tcPr>
            <w:tcW w:w="16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Infrastructure</w:t>
            </w:r>
          </w:p>
        </w:tc>
        <w:tc>
          <w:tcPr>
            <w:tcW w:w="13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sales growth</w:t>
            </w:r>
          </w:p>
        </w:tc>
        <w:tc>
          <w:tcPr>
            <w:tcW w:w="222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6"/>
              </w:rPr>
              <w:t>29%</w:t>
            </w:r>
          </w:p>
        </w:tc>
        <w:tc>
          <w:tcPr>
            <w:tcW w:w="162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97%</w:t>
            </w:r>
          </w:p>
        </w:tc>
        <w:tc>
          <w:tcPr>
            <w:tcW w:w="132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6"/>
              </w:rPr>
              <w:t>54%</w:t>
            </w:r>
          </w:p>
        </w:tc>
      </w:tr>
      <w:tr>
        <w:trPr>
          <w:trHeight w:val="229"/>
        </w:trPr>
        <w:tc>
          <w:tcPr>
            <w:tcW w:w="6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Foreign currency exchange effect</w:t>
            </w:r>
            <w:r>
              <w:rPr>
                <w:rFonts w:ascii="Times New Roman" w:cs="Times New Roman" w:eastAsia="Times New Roman" w:hAnsi="Times New Roman"/>
                <w:sz w:val="23"/>
                <w:szCs w:val="23"/>
                <w:color w:val="auto"/>
                <w:vertAlign w:val="superscript"/>
              </w:rPr>
              <w:t>(1)</w:t>
            </w:r>
          </w:p>
        </w:tc>
        <w:tc>
          <w:tcPr>
            <w:tcW w:w="22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608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Business days effect</w:t>
            </w:r>
            <w:r>
              <w:rPr>
                <w:rFonts w:ascii="Times New Roman" w:cs="Times New Roman" w:eastAsia="Times New Roman" w:hAnsi="Times New Roman"/>
                <w:sz w:val="23"/>
                <w:szCs w:val="23"/>
                <w:color w:val="auto"/>
                <w:vertAlign w:val="superscript"/>
              </w:rPr>
              <w:t>(3)</w:t>
            </w:r>
          </w:p>
        </w:tc>
        <w:tc>
          <w:tcPr>
            <w:tcW w:w="2220" w:type="dxa"/>
            <w:vAlign w:val="bottom"/>
            <w:tcBorders>
              <w:bottom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5"/>
              </w:rPr>
              <w:t>(1)</w:t>
            </w:r>
          </w:p>
        </w:tc>
        <w:tc>
          <w:tcPr>
            <w:tcW w:w="1620" w:type="dxa"/>
            <w:vAlign w:val="bottom"/>
            <w:tcBorders>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tcBorders>
              <w:bottom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Sales growth</w:t>
            </w:r>
          </w:p>
        </w:tc>
        <w:tc>
          <w:tcPr>
            <w:tcW w:w="2220" w:type="dxa"/>
            <w:vAlign w:val="bottom"/>
            <w:tcBorders>
              <w:bottom w:val="single" w:sz="8" w:color="auto"/>
            </w:tcBorders>
          </w:tcPr>
          <w:p>
            <w:pPr>
              <w:jc w:val="center"/>
              <w:ind w:left="650"/>
              <w:spacing w:after="0"/>
              <w:rPr>
                <w:sz w:val="20"/>
                <w:szCs w:val="20"/>
                <w:color w:val="auto"/>
              </w:rPr>
            </w:pPr>
            <w:r>
              <w:rPr>
                <w:rFonts w:ascii="Times New Roman" w:cs="Times New Roman" w:eastAsia="Times New Roman" w:hAnsi="Times New Roman"/>
                <w:sz w:val="18"/>
                <w:szCs w:val="18"/>
                <w:color w:val="auto"/>
                <w:w w:val="96"/>
              </w:rPr>
              <w:t>28%</w:t>
            </w:r>
          </w:p>
        </w:tc>
        <w:tc>
          <w:tcPr>
            <w:tcW w:w="16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98%</w:t>
            </w: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6"/>
              </w:rPr>
              <w:t>54%</w:t>
            </w:r>
          </w:p>
        </w:tc>
      </w:tr>
      <w:tr>
        <w:trPr>
          <w:trHeight w:val="21"/>
        </w:trPr>
        <w:tc>
          <w:tcPr>
            <w:tcW w:w="60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ind w:right="116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78105</wp:posOffset>
            </wp:positionV>
            <wp:extent cx="709803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constant currency end market sales growth to end market sales growth</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Metal Cutting</w:t>
            </w:r>
          </w:p>
        </w:tc>
        <w:tc>
          <w:tcPr>
            <w:tcW w:w="1780" w:type="dxa"/>
            <w:vAlign w:val="bottom"/>
          </w:tcPr>
          <w:p>
            <w:pPr>
              <w:spacing w:after="0"/>
              <w:rPr>
                <w:sz w:val="20"/>
                <w:szCs w:val="20"/>
                <w:color w:val="auto"/>
              </w:rPr>
            </w:pPr>
          </w:p>
        </w:tc>
        <w:tc>
          <w:tcPr>
            <w:tcW w:w="1140" w:type="dxa"/>
            <w:vAlign w:val="bottom"/>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w w:val="98"/>
              </w:rPr>
              <w:t>General</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Aerospace &amp;</w:t>
            </w: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2026</w:t>
            </w:r>
          </w:p>
        </w:tc>
        <w:tc>
          <w:tcPr>
            <w:tcW w:w="2920" w:type="dxa"/>
            <w:vAlign w:val="bottom"/>
            <w:tcBorders>
              <w:bottom w:val="single" w:sz="8" w:color="auto"/>
            </w:tcBorders>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9"/>
              </w:rPr>
              <w:t>Engineering</w:t>
            </w:r>
          </w:p>
        </w:tc>
        <w:tc>
          <w:tcPr>
            <w:tcW w:w="16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Transportation</w:t>
            </w:r>
          </w:p>
        </w:tc>
        <w:tc>
          <w:tcPr>
            <w:tcW w:w="12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Defense</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Energy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Constant currency end market sales growth</w:t>
            </w:r>
          </w:p>
        </w:tc>
        <w:tc>
          <w:tcPr>
            <w:tcW w:w="17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490"/>
              <w:spacing w:after="0"/>
              <w:rPr>
                <w:sz w:val="20"/>
                <w:szCs w:val="20"/>
                <w:color w:val="auto"/>
              </w:rPr>
            </w:pPr>
            <w:r>
              <w:rPr>
                <w:rFonts w:ascii="Times New Roman" w:cs="Times New Roman" w:eastAsia="Times New Roman" w:hAnsi="Times New Roman"/>
                <w:sz w:val="18"/>
                <w:szCs w:val="18"/>
                <w:color w:val="auto"/>
                <w:w w:val="96"/>
              </w:rPr>
              <w:t>34%</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rPr>
              <w:t>11%</w:t>
            </w:r>
          </w:p>
        </w:tc>
        <w:tc>
          <w:tcPr>
            <w:tcW w:w="124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32%</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Foreign currency exchange effect</w:t>
            </w:r>
            <w:r>
              <w:rPr>
                <w:rFonts w:ascii="Times New Roman" w:cs="Times New Roman" w:eastAsia="Times New Roman" w:hAnsi="Times New Roman"/>
                <w:sz w:val="23"/>
                <w:szCs w:val="23"/>
                <w:color w:val="auto"/>
                <w:vertAlign w:val="superscript"/>
              </w:rPr>
              <w:t>(1)</w:t>
            </w:r>
          </w:p>
        </w:tc>
        <w:tc>
          <w:tcPr>
            <w:tcW w:w="17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(1)</w:t>
            </w: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04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End market sales growth</w:t>
            </w:r>
            <w:r>
              <w:rPr>
                <w:rFonts w:ascii="Times New Roman" w:cs="Times New Roman" w:eastAsia="Times New Roman" w:hAnsi="Times New Roman"/>
                <w:sz w:val="23"/>
                <w:szCs w:val="23"/>
                <w:color w:val="auto"/>
                <w:vertAlign w:val="superscript"/>
              </w:rPr>
              <w:t>(2)</w:t>
            </w:r>
          </w:p>
        </w:tc>
        <w:tc>
          <w:tcPr>
            <w:tcW w:w="17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center"/>
              <w:ind w:right="490"/>
              <w:spacing w:after="0"/>
              <w:rPr>
                <w:sz w:val="20"/>
                <w:szCs w:val="20"/>
                <w:color w:val="auto"/>
              </w:rPr>
            </w:pPr>
            <w:r>
              <w:rPr>
                <w:rFonts w:ascii="Times New Roman" w:cs="Times New Roman" w:eastAsia="Times New Roman" w:hAnsi="Times New Roman"/>
                <w:sz w:val="18"/>
                <w:szCs w:val="18"/>
                <w:color w:val="auto"/>
                <w:w w:val="96"/>
              </w:rPr>
              <w:t>34%</w:t>
            </w: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rPr>
              <w:t>11%</w:t>
            </w:r>
          </w:p>
        </w:tc>
        <w:tc>
          <w:tcPr>
            <w:tcW w:w="1240" w:type="dxa"/>
            <w:vAlign w:val="bottom"/>
            <w:tcBorders>
              <w:bottom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31%</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Infrastructure</w:t>
            </w:r>
          </w:p>
        </w:tc>
        <w:tc>
          <w:tcPr>
            <w:tcW w:w="1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rPr>
              <w:t>General</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Aerospace &amp;</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2026</w:t>
            </w:r>
          </w:p>
        </w:tc>
        <w:tc>
          <w:tcPr>
            <w:tcW w:w="17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Energy</w:t>
            </w:r>
          </w:p>
        </w:tc>
        <w:tc>
          <w:tcPr>
            <w:tcW w:w="16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Earthworks</w:t>
            </w:r>
          </w:p>
        </w:tc>
        <w:tc>
          <w:tcPr>
            <w:tcW w:w="12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Engineering</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Defense</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Constant currency end market sales growth</w:t>
            </w:r>
          </w:p>
        </w:tc>
        <w:tc>
          <w:tcPr>
            <w:tcW w:w="17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9"/>
              </w:rPr>
              <w:t>180%</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right="550"/>
              <w:spacing w:after="0"/>
              <w:rPr>
                <w:sz w:val="20"/>
                <w:szCs w:val="20"/>
                <w:color w:val="auto"/>
              </w:rPr>
            </w:pPr>
            <w:r>
              <w:rPr>
                <w:rFonts w:ascii="Times New Roman" w:cs="Times New Roman" w:eastAsia="Times New Roman" w:hAnsi="Times New Roman"/>
                <w:sz w:val="18"/>
                <w:szCs w:val="18"/>
                <w:color w:val="auto"/>
                <w:w w:val="96"/>
              </w:rPr>
              <w:t>80%</w:t>
            </w:r>
          </w:p>
        </w:tc>
        <w:tc>
          <w:tcPr>
            <w:tcW w:w="124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rPr>
              <w:t>50%</w:t>
            </w:r>
          </w:p>
        </w:tc>
        <w:tc>
          <w:tcPr>
            <w:tcW w:w="1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Foreign currency exchange effect</w:t>
            </w:r>
            <w:r>
              <w:rPr>
                <w:rFonts w:ascii="Times New Roman" w:cs="Times New Roman" w:eastAsia="Times New Roman" w:hAnsi="Times New Roman"/>
                <w:sz w:val="23"/>
                <w:szCs w:val="23"/>
                <w:color w:val="auto"/>
                <w:vertAlign w:val="superscript"/>
              </w:rPr>
              <w:t>(1)</w:t>
            </w:r>
          </w:p>
        </w:tc>
        <w:tc>
          <w:tcPr>
            <w:tcW w:w="17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color w:val="auto"/>
                <w:w w:val="88"/>
              </w:rPr>
              <w:t>4</w:t>
            </w:r>
          </w:p>
        </w:tc>
        <w:tc>
          <w:tcPr>
            <w:tcW w:w="12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80" w:type="dxa"/>
            <w:vAlign w:val="bottom"/>
            <w:tcBorders>
              <w:bottom w:val="single" w:sz="8" w:color="auto"/>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End market sales growth</w:t>
            </w:r>
            <w:r>
              <w:rPr>
                <w:rFonts w:ascii="Times New Roman" w:cs="Times New Roman" w:eastAsia="Times New Roman" w:hAnsi="Times New Roman"/>
                <w:sz w:val="23"/>
                <w:szCs w:val="23"/>
                <w:color w:val="auto"/>
                <w:vertAlign w:val="superscript"/>
              </w:rPr>
              <w:t>(2)</w:t>
            </w:r>
          </w:p>
        </w:tc>
        <w:tc>
          <w:tcPr>
            <w:tcW w:w="17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9"/>
              </w:rPr>
              <w:t>180%</w:t>
            </w: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center"/>
              <w:ind w:right="550"/>
              <w:spacing w:after="0"/>
              <w:rPr>
                <w:sz w:val="20"/>
                <w:szCs w:val="20"/>
                <w:color w:val="auto"/>
              </w:rPr>
            </w:pPr>
            <w:r>
              <w:rPr>
                <w:rFonts w:ascii="Times New Roman" w:cs="Times New Roman" w:eastAsia="Times New Roman" w:hAnsi="Times New Roman"/>
                <w:sz w:val="18"/>
                <w:szCs w:val="18"/>
                <w:color w:val="auto"/>
                <w:w w:val="96"/>
              </w:rPr>
              <w:t>84%</w:t>
            </w:r>
          </w:p>
        </w:tc>
        <w:tc>
          <w:tcPr>
            <w:tcW w:w="1240" w:type="dxa"/>
            <w:vAlign w:val="bottom"/>
            <w:tcBorders>
              <w:bottom w:val="single" w:sz="8" w:color="auto"/>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rPr>
              <w:t>50%</w:t>
            </w:r>
          </w:p>
        </w:tc>
        <w:tc>
          <w:tcPr>
            <w:tcW w:w="13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auto"/>
            </w:tcBorders>
            <w:gridSpan w:val="2"/>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1780" w:type="dxa"/>
            <w:vAlign w:val="bottom"/>
            <w:vMerge w:val="restart"/>
          </w:tcPr>
          <w:p>
            <w:pPr>
              <w:jc w:val="center"/>
              <w:ind w:left="810"/>
              <w:spacing w:after="0"/>
              <w:rPr>
                <w:sz w:val="20"/>
                <w:szCs w:val="20"/>
                <w:color w:val="auto"/>
              </w:rPr>
            </w:pPr>
            <w:r>
              <w:rPr>
                <w:rFonts w:ascii="Times New Roman" w:cs="Times New Roman" w:eastAsia="Times New Roman" w:hAnsi="Times New Roman"/>
                <w:sz w:val="18"/>
                <w:szCs w:val="18"/>
                <w:color w:val="auto"/>
                <w:w w:val="98"/>
              </w:rPr>
              <w:t>General</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vMerge w:val="restart"/>
          </w:tcPr>
          <w:p>
            <w:pPr>
              <w:jc w:val="center"/>
              <w:ind w:left="150"/>
              <w:spacing w:after="0"/>
              <w:rPr>
                <w:sz w:val="20"/>
                <w:szCs w:val="20"/>
                <w:color w:val="auto"/>
              </w:rPr>
            </w:pPr>
            <w:r>
              <w:rPr>
                <w:rFonts w:ascii="Times New Roman" w:cs="Times New Roman" w:eastAsia="Times New Roman" w:hAnsi="Times New Roman"/>
                <w:sz w:val="18"/>
                <w:szCs w:val="18"/>
                <w:color w:val="auto"/>
              </w:rPr>
              <w:t>Aerospace &amp;</w:t>
            </w:r>
          </w:p>
        </w:tc>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2026</w:t>
            </w:r>
          </w:p>
        </w:tc>
        <w:tc>
          <w:tcPr>
            <w:tcW w:w="1780" w:type="dxa"/>
            <w:vAlign w:val="bottom"/>
            <w:tcBorders>
              <w:bottom w:val="single" w:sz="8" w:color="auto"/>
            </w:tcBorders>
          </w:tcPr>
          <w:p>
            <w:pPr>
              <w:jc w:val="center"/>
              <w:ind w:left="810"/>
              <w:spacing w:after="0"/>
              <w:rPr>
                <w:sz w:val="20"/>
                <w:szCs w:val="20"/>
                <w:color w:val="auto"/>
              </w:rPr>
            </w:pPr>
            <w:r>
              <w:rPr>
                <w:rFonts w:ascii="Times New Roman" w:cs="Times New Roman" w:eastAsia="Times New Roman" w:hAnsi="Times New Roman"/>
                <w:sz w:val="18"/>
                <w:szCs w:val="18"/>
                <w:color w:val="auto"/>
                <w:w w:val="99"/>
              </w:rPr>
              <w:t>Engineering</w:t>
            </w:r>
          </w:p>
        </w:tc>
        <w:tc>
          <w:tcPr>
            <w:tcW w:w="150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Transportation</w:t>
            </w:r>
          </w:p>
        </w:tc>
        <w:tc>
          <w:tcPr>
            <w:tcW w:w="124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Defense</w:t>
            </w:r>
          </w:p>
        </w:tc>
        <w:tc>
          <w:tcPr>
            <w:tcW w:w="12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Energy</w:t>
            </w: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Earthworks</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Constant currency end market sales growth</w:t>
            </w:r>
          </w:p>
        </w:tc>
        <w:tc>
          <w:tcPr>
            <w:tcW w:w="178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39%</w:t>
            </w:r>
          </w:p>
        </w:tc>
        <w:tc>
          <w:tcPr>
            <w:tcW w:w="114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6"/>
              </w:rPr>
              <w:t>11%</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6"/>
              </w:rPr>
              <w:t>61%</w:t>
            </w:r>
          </w:p>
        </w:tc>
        <w:tc>
          <w:tcPr>
            <w:tcW w:w="124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126%</w:t>
            </w:r>
          </w:p>
        </w:tc>
        <w:tc>
          <w:tcPr>
            <w:tcW w:w="13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Foreign currency exchange effect</w:t>
            </w:r>
            <w:r>
              <w:rPr>
                <w:rFonts w:ascii="Times New Roman" w:cs="Times New Roman" w:eastAsia="Times New Roman" w:hAnsi="Times New Roman"/>
                <w:sz w:val="23"/>
                <w:szCs w:val="23"/>
                <w:color w:val="auto"/>
                <w:vertAlign w:val="superscript"/>
              </w:rPr>
              <w:t>(1)</w:t>
            </w:r>
          </w:p>
        </w:tc>
        <w:tc>
          <w:tcPr>
            <w:tcW w:w="1780" w:type="dxa"/>
            <w:vAlign w:val="bottom"/>
            <w:tcBorders>
              <w:bottom w:val="single" w:sz="8" w:color="auto"/>
            </w:tcBorders>
          </w:tcPr>
          <w:p>
            <w:pPr>
              <w:jc w:val="center"/>
              <w:ind w:left="810"/>
              <w:spacing w:after="0"/>
              <w:rPr>
                <w:sz w:val="20"/>
                <w:szCs w:val="20"/>
                <w:color w:val="auto"/>
              </w:rPr>
            </w:pPr>
            <w:r>
              <w:rPr>
                <w:rFonts w:ascii="Times New Roman" w:cs="Times New Roman" w:eastAsia="Times New Roman" w:hAnsi="Times New Roman"/>
                <w:sz w:val="18"/>
                <w:szCs w:val="18"/>
                <w:color w:val="auto"/>
                <w:w w:val="95"/>
              </w:rPr>
              <w:t>(1)</w:t>
            </w:r>
          </w:p>
        </w:tc>
        <w:tc>
          <w:tcPr>
            <w:tcW w:w="114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5"/>
              </w:rPr>
              <w:t>(1)</w:t>
            </w:r>
          </w:p>
        </w:tc>
        <w:tc>
          <w:tcPr>
            <w:tcW w:w="124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88"/>
              </w:rPr>
              <w:t>1</w:t>
            </w:r>
          </w:p>
        </w:tc>
        <w:tc>
          <w:tcPr>
            <w:tcW w:w="138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80" w:type="dxa"/>
            <w:vAlign w:val="bottom"/>
            <w:tcBorders>
              <w:bottom w:val="single" w:sz="8" w:color="auto"/>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End market sales growth</w:t>
            </w:r>
            <w:r>
              <w:rPr>
                <w:rFonts w:ascii="Times New Roman" w:cs="Times New Roman" w:eastAsia="Times New Roman" w:hAnsi="Times New Roman"/>
                <w:sz w:val="23"/>
                <w:szCs w:val="23"/>
                <w:color w:val="auto"/>
                <w:vertAlign w:val="superscript"/>
              </w:rPr>
              <w:t>(2)</w:t>
            </w:r>
          </w:p>
        </w:tc>
        <w:tc>
          <w:tcPr>
            <w:tcW w:w="1780" w:type="dxa"/>
            <w:vAlign w:val="bottom"/>
            <w:tcBorders>
              <w:bottom w:val="single" w:sz="8" w:color="auto"/>
            </w:tcBorders>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38%</w:t>
            </w:r>
          </w:p>
        </w:tc>
        <w:tc>
          <w:tcPr>
            <w:tcW w:w="1140" w:type="dxa"/>
            <w:vAlign w:val="bottom"/>
            <w:tcBorders>
              <w:bottom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6"/>
              </w:rPr>
              <w:t>11%</w:t>
            </w: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6"/>
              </w:rPr>
              <w:t>60%</w:t>
            </w:r>
          </w:p>
        </w:tc>
        <w:tc>
          <w:tcPr>
            <w:tcW w:w="1240" w:type="dxa"/>
            <w:vAlign w:val="bottom"/>
            <w:tcBorders>
              <w:bottom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127%</w:t>
            </w:r>
          </w:p>
        </w:tc>
        <w:tc>
          <w:tcPr>
            <w:tcW w:w="1380" w:type="dxa"/>
            <w:vAlign w:val="bottom"/>
            <w:tcBorders>
              <w:bottom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auto"/>
            </w:tcBorders>
          </w:tcPr>
          <w:p>
            <w:pPr>
              <w:spacing w:after="0" w:line="20" w:lineRule="exact"/>
              <w:rPr>
                <w:sz w:val="1"/>
                <w:szCs w:val="1"/>
                <w:color w:val="auto"/>
              </w:rPr>
            </w:pPr>
          </w:p>
        </w:tc>
        <w:tc>
          <w:tcPr>
            <w:tcW w:w="40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ind w:right="116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78105</wp:posOffset>
            </wp:positionV>
            <wp:extent cx="709803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Reconciliations of constant currency regional sales growth to reported regional sales growth </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are as follows:</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7"/>
        </w:trPr>
        <w:tc>
          <w:tcPr>
            <w:tcW w:w="8180" w:type="dxa"/>
            <w:vAlign w:val="bottom"/>
          </w:tcPr>
          <w:p>
            <w:pPr>
              <w:spacing w:after="0"/>
              <w:rPr>
                <w:sz w:val="20"/>
                <w:szCs w:val="20"/>
                <w:color w:val="auto"/>
              </w:rPr>
            </w:pPr>
          </w:p>
        </w:tc>
        <w:tc>
          <w:tcPr>
            <w:tcW w:w="30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Three Months Ended September 30,</w:t>
            </w:r>
          </w:p>
        </w:tc>
      </w:tr>
      <w:tr>
        <w:trPr>
          <w:trHeight w:val="230"/>
        </w:trPr>
        <w:tc>
          <w:tcPr>
            <w:tcW w:w="8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60" w:type="dxa"/>
            <w:vAlign w:val="bottom"/>
          </w:tcPr>
          <w:p>
            <w:pPr>
              <w:spacing w:after="0"/>
              <w:rPr>
                <w:sz w:val="19"/>
                <w:szCs w:val="19"/>
                <w:color w:val="auto"/>
              </w:rPr>
            </w:pPr>
          </w:p>
        </w:tc>
      </w:tr>
      <w:tr>
        <w:trPr>
          <w:trHeight w:val="234"/>
        </w:trPr>
        <w:tc>
          <w:tcPr>
            <w:tcW w:w="8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Americas</w:t>
            </w:r>
          </w:p>
        </w:tc>
        <w:tc>
          <w:tcPr>
            <w:tcW w:w="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10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Asia Pacific</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Metal Cutting</w:t>
            </w: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Constant currency regional sales growth</w:t>
            </w:r>
          </w:p>
        </w:tc>
        <w:tc>
          <w:tcPr>
            <w:tcW w:w="11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81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Foreign currency exchange effect</w:t>
            </w:r>
            <w:r>
              <w:rPr>
                <w:rFonts w:ascii="Times New Roman" w:cs="Times New Roman" w:eastAsia="Times New Roman" w:hAnsi="Times New Roman"/>
                <w:sz w:val="23"/>
                <w:szCs w:val="23"/>
                <w:color w:val="auto"/>
                <w:vertAlign w:val="superscript"/>
              </w:rPr>
              <w:t>(1)</w:t>
            </w:r>
          </w:p>
        </w:tc>
        <w:tc>
          <w:tcPr>
            <w:tcW w:w="11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81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Regional sales growth</w:t>
            </w:r>
            <w:r>
              <w:rPr>
                <w:rFonts w:ascii="Times New Roman" w:cs="Times New Roman" w:eastAsia="Times New Roman" w:hAnsi="Times New Roman"/>
                <w:sz w:val="23"/>
                <w:szCs w:val="23"/>
                <w:color w:val="auto"/>
                <w:vertAlign w:val="superscript"/>
              </w:rPr>
              <w:t>(4)</w:t>
            </w:r>
          </w:p>
        </w:tc>
        <w:tc>
          <w:tcPr>
            <w:tcW w:w="116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42%</w:t>
            </w: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1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8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Infrastructure</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Constant currency regional sales growth</w:t>
            </w:r>
          </w:p>
        </w:tc>
        <w:tc>
          <w:tcPr>
            <w:tcW w:w="11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123%</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93%</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81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Foreign currency exchange effect</w:t>
            </w:r>
            <w:r>
              <w:rPr>
                <w:rFonts w:ascii="Times New Roman" w:cs="Times New Roman" w:eastAsia="Times New Roman" w:hAnsi="Times New Roman"/>
                <w:sz w:val="23"/>
                <w:szCs w:val="23"/>
                <w:color w:val="auto"/>
                <w:vertAlign w:val="superscript"/>
              </w:rPr>
              <w:t>(1)</w:t>
            </w:r>
          </w:p>
        </w:tc>
        <w:tc>
          <w:tcPr>
            <w:tcW w:w="11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81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Regional sales growth</w:t>
            </w:r>
            <w:r>
              <w:rPr>
                <w:rFonts w:ascii="Times New Roman" w:cs="Times New Roman" w:eastAsia="Times New Roman" w:hAnsi="Times New Roman"/>
                <w:sz w:val="23"/>
                <w:szCs w:val="23"/>
                <w:color w:val="auto"/>
                <w:vertAlign w:val="superscript"/>
              </w:rPr>
              <w:t>(4)</w:t>
            </w:r>
          </w:p>
        </w:tc>
        <w:tc>
          <w:tcPr>
            <w:tcW w:w="116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123%</w:t>
            </w: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96%</w:t>
            </w:r>
          </w:p>
        </w:tc>
        <w:tc>
          <w:tcPr>
            <w:tcW w:w="1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8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Constant currency regional sales growth</w:t>
            </w:r>
          </w:p>
        </w:tc>
        <w:tc>
          <w:tcPr>
            <w:tcW w:w="11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76%</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34%</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1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Foreign currency exchange effect</w:t>
            </w:r>
            <w:r>
              <w:rPr>
                <w:rFonts w:ascii="Times New Roman" w:cs="Times New Roman" w:eastAsia="Times New Roman" w:hAnsi="Times New Roman"/>
                <w:sz w:val="23"/>
                <w:szCs w:val="23"/>
                <w:color w:val="auto"/>
                <w:vertAlign w:val="superscript"/>
              </w:rPr>
              <w:t>(1)</w:t>
            </w:r>
          </w:p>
        </w:tc>
        <w:tc>
          <w:tcPr>
            <w:tcW w:w="11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8"/>
        </w:trPr>
        <w:tc>
          <w:tcPr>
            <w:tcW w:w="81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Regional sales growth</w:t>
            </w:r>
            <w:r>
              <w:rPr>
                <w:rFonts w:ascii="Times New Roman" w:cs="Times New Roman" w:eastAsia="Times New Roman" w:hAnsi="Times New Roman"/>
                <w:sz w:val="23"/>
                <w:szCs w:val="23"/>
                <w:color w:val="auto"/>
                <w:vertAlign w:val="superscript"/>
              </w:rPr>
              <w:t>(4)</w:t>
            </w:r>
          </w:p>
        </w:tc>
        <w:tc>
          <w:tcPr>
            <w:tcW w:w="116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76%</w:t>
            </w: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33%</w:t>
            </w:r>
          </w:p>
        </w:tc>
        <w:tc>
          <w:tcPr>
            <w:tcW w:w="1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8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160" w:hanging="152"/>
        <w:spacing w:after="0"/>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Foreign currency exchange effect is calculated by dividing the difference between current period sales and current period sales at prior period foreign exchange rates by prior period sales.</w:t>
      </w:r>
    </w:p>
    <w:p>
      <w:pPr>
        <w:spacing w:after="0" w:line="65"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Aggregate sales for all end markets sum to the sales amount presented on Kennametal's financial statements.</w:t>
      </w:r>
    </w:p>
    <w:p>
      <w:pPr>
        <w:spacing w:after="0" w:line="65"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Business days effect is calculated by dividing the year-over-year change in weighted average working days (based on mix of sales by country) by prior period weighted average working days.</w:t>
      </w:r>
    </w:p>
    <w:p>
      <w:pPr>
        <w:spacing w:after="0" w:line="81"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Aggregate sales for all regions sum to the sales amount presented on Kennametal's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151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market risk exposures since June 30, 2026.</w:t>
      </w:r>
    </w:p>
    <w:p>
      <w:pPr>
        <w:spacing w:after="0" w:line="289"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151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the Company's management evaluated, with the participation of the Company's Chief Executive Officer and Chief Financial Officer, the effectiveness of the Company's disclosure controls and procedures (as defined in Exchange Act Rules 13a-15(e) and 15d-15(e)). The Company's disclosure controls were designed to provide a reasonable assurance that information required to be disclosed in reports that we file or submit under the Securities Exchange Act of 1934, as amended (Exchange Act), is recorded, processed, summarized and reported within the time periods specified in the rules and forms of the Securities and Exchange Commission. It should be noted that the design of any system of controls is based in part upon certain assumptions about the likelihood of future events, and there can be no assurance that any design will succeed in achieving its stated goals under all potential future conditions, regardless of how remote. However, the controls have been designed to provide reasonable assurance of achieving the controls' stated goals. Based on that evaluation, the Company's Chief Executive Officer and Chief Financial Officer have concluded that the Company's disclosure controls and procedures are effective to provide reasonable assurance at September 30, 2026 that information required to be disclosed in the reports that we file or submit under the Exchange Act is (i) accumulated and communicated to management, including the Company's Chief Executive Officer and Chief Financial Officer, to allow timely decisions regarding required disclosure and (ii) recorded, processed, summarized and reported within the time periods specified in the rules and forms of the Securities and Exchange Commission.</w:t>
      </w:r>
    </w:p>
    <w:p>
      <w:pPr>
        <w:spacing w:after="0" w:line="8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2026, the Company completed the implementation of SAP S/4HANA across its global operations. In connection with the implementation, the Company implemented new controls and modified existing controls over financial reporting. These changes represent a material change in the Company's internal control over financial reporting.</w:t>
      </w:r>
    </w:p>
    <w:p>
      <w:pPr>
        <w:spacing w:after="0" w:line="68"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Other than the changes described above, there were no changes in the Company's internal control over financial reporting that occurred during the Company's most recent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151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11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the quarter ended September 30, 2026, none of our directors or officers (as defined in Rule 16a-1(f) of the Exchange Act) adopted, modified or terminated a plan for the purchase or sale of our securities intended to satisfy the affirmative defense conditions of Rule 10b5-1(c) or a non-Rule 10b5-1 trading arrangement for the purchase or sale of our securities, within the meaning of Item 408 of Regulation S-K.</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From time to time, we are party to legal claims and proceedings that arise in the ordinary course of business, which may relate to our operations or assets, including real, tangible or intellectual property assets. Although we currently believe that the amount of ultimate liability, if any, we may face with respect to these actions will not materially affect our financial position, results of operations or liquidity, the ultimate outcome of any litigation is uncertain. Were an unfavorable outcome to occur or if protracted litigation were to ensue, the effect on us could be material. See Notes to Condensed Consolidated Financial Statements for further information.</w:t>
      </w:r>
    </w:p>
    <w:p>
      <w:pPr>
        <w:spacing w:after="0" w:line="200" w:lineRule="exact"/>
        <w:rPr>
          <w:sz w:val="20"/>
          <w:szCs w:val="20"/>
          <w:color w:val="auto"/>
        </w:rPr>
      </w:pPr>
    </w:p>
    <w:p>
      <w:pPr>
        <w:spacing w:after="0" w:line="303" w:lineRule="exact"/>
        <w:rPr>
          <w:sz w:val="20"/>
          <w:szCs w:val="20"/>
          <w:color w:val="auto"/>
        </w:rPr>
      </w:pPr>
    </w:p>
    <w:p>
      <w:pPr>
        <w:ind w:left="20" w:right="960"/>
        <w:spacing w:after="0" w:line="239"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151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Total Number of</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Approximate Dollar</w:t>
            </w:r>
          </w:p>
        </w:tc>
        <w:tc>
          <w:tcPr>
            <w:tcW w:w="0" w:type="dxa"/>
            <w:vAlign w:val="bottom"/>
          </w:tcPr>
          <w:p>
            <w:pPr>
              <w:spacing w:after="0"/>
              <w:rPr>
                <w:sz w:val="1"/>
                <w:szCs w:val="1"/>
                <w:color w:val="auto"/>
              </w:rPr>
            </w:pPr>
          </w:p>
        </w:tc>
      </w:tr>
      <w:tr>
        <w:trPr>
          <w:trHeight w:val="175"/>
        </w:trPr>
        <w:tc>
          <w:tcPr>
            <w:tcW w:w="37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1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Value of</w:t>
            </w:r>
          </w:p>
        </w:tc>
        <w:tc>
          <w:tcPr>
            <w:tcW w:w="0" w:type="dxa"/>
            <w:vAlign w:val="bottom"/>
          </w:tcPr>
          <w:p>
            <w:pPr>
              <w:spacing w:after="0"/>
              <w:rPr>
                <w:sz w:val="1"/>
                <w:szCs w:val="1"/>
                <w:color w:val="auto"/>
              </w:rPr>
            </w:pPr>
          </w:p>
        </w:tc>
      </w:tr>
      <w:tr>
        <w:trPr>
          <w:trHeight w:val="176"/>
        </w:trPr>
        <w:tc>
          <w:tcPr>
            <w:tcW w:w="37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0" w:type="dxa"/>
            <w:vAlign w:val="bottom"/>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Shares Purchased</w:t>
            </w:r>
          </w:p>
        </w:tc>
        <w:tc>
          <w:tcPr>
            <w:tcW w:w="1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of Shares that May</w:t>
            </w:r>
          </w:p>
        </w:tc>
        <w:tc>
          <w:tcPr>
            <w:tcW w:w="0" w:type="dxa"/>
            <w:vAlign w:val="bottom"/>
          </w:tcPr>
          <w:p>
            <w:pPr>
              <w:spacing w:after="0"/>
              <w:rPr>
                <w:sz w:val="1"/>
                <w:szCs w:val="1"/>
                <w:color w:val="auto"/>
              </w:rPr>
            </w:pPr>
          </w:p>
        </w:tc>
      </w:tr>
      <w:tr>
        <w:trPr>
          <w:trHeight w:val="189"/>
        </w:trPr>
        <w:tc>
          <w:tcPr>
            <w:tcW w:w="3760" w:type="dxa"/>
            <w:vAlign w:val="bottom"/>
          </w:tcPr>
          <w:p>
            <w:pPr>
              <w:spacing w:after="0"/>
              <w:rPr>
                <w:sz w:val="16"/>
                <w:szCs w:val="16"/>
                <w:color w:val="auto"/>
              </w:rPr>
            </w:pPr>
          </w:p>
        </w:tc>
        <w:tc>
          <w:tcPr>
            <w:tcW w:w="1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Total Number</w:t>
            </w:r>
          </w:p>
        </w:tc>
        <w:tc>
          <w:tcPr>
            <w:tcW w:w="400" w:type="dxa"/>
            <w:vAlign w:val="bottom"/>
          </w:tcPr>
          <w:p>
            <w:pPr>
              <w:spacing w:after="0"/>
              <w:rPr>
                <w:sz w:val="16"/>
                <w:szCs w:val="16"/>
                <w:color w:val="auto"/>
              </w:rPr>
            </w:pPr>
          </w:p>
        </w:tc>
        <w:tc>
          <w:tcPr>
            <w:tcW w:w="16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Average Price</w:t>
            </w:r>
          </w:p>
        </w:tc>
        <w:tc>
          <w:tcPr>
            <w:tcW w:w="200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as Part of Publicly</w:t>
            </w:r>
          </w:p>
        </w:tc>
        <w:tc>
          <w:tcPr>
            <w:tcW w:w="16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Yet Be Purchased</w:t>
            </w:r>
          </w:p>
        </w:tc>
        <w:tc>
          <w:tcPr>
            <w:tcW w:w="0" w:type="dxa"/>
            <w:vAlign w:val="bottom"/>
          </w:tcPr>
          <w:p>
            <w:pPr>
              <w:spacing w:after="0"/>
              <w:rPr>
                <w:sz w:val="1"/>
                <w:szCs w:val="1"/>
                <w:color w:val="auto"/>
              </w:rPr>
            </w:pPr>
          </w:p>
        </w:tc>
      </w:tr>
      <w:tr>
        <w:trPr>
          <w:trHeight w:val="175"/>
        </w:trPr>
        <w:tc>
          <w:tcPr>
            <w:tcW w:w="3760" w:type="dxa"/>
            <w:vAlign w:val="bottom"/>
          </w:tcPr>
          <w:p>
            <w:pPr>
              <w:spacing w:after="0"/>
              <w:rPr>
                <w:sz w:val="15"/>
                <w:szCs w:val="15"/>
                <w:color w:val="auto"/>
              </w:rPr>
            </w:pPr>
          </w:p>
        </w:tc>
        <w:tc>
          <w:tcPr>
            <w:tcW w:w="1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of Shares</w:t>
            </w:r>
          </w:p>
        </w:tc>
        <w:tc>
          <w:tcPr>
            <w:tcW w:w="40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000" w:type="dxa"/>
            <w:vAlign w:val="bottom"/>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Announced Plans</w:t>
            </w:r>
          </w:p>
        </w:tc>
        <w:tc>
          <w:tcPr>
            <w:tcW w:w="1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Under the Plans or</w:t>
            </w:r>
          </w:p>
        </w:tc>
        <w:tc>
          <w:tcPr>
            <w:tcW w:w="0" w:type="dxa"/>
            <w:vAlign w:val="bottom"/>
          </w:tcPr>
          <w:p>
            <w:pPr>
              <w:spacing w:after="0"/>
              <w:rPr>
                <w:sz w:val="1"/>
                <w:szCs w:val="1"/>
                <w:color w:val="auto"/>
              </w:rPr>
            </w:pPr>
          </w:p>
        </w:tc>
      </w:tr>
      <w:tr>
        <w:trPr>
          <w:trHeight w:val="243"/>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82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18"/>
                <w:szCs w:val="18"/>
                <w:color w:val="auto"/>
              </w:rPr>
              <w:t xml:space="preserve">Purchased </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Paid per Share</w:t>
            </w:r>
          </w:p>
        </w:tc>
        <w:tc>
          <w:tcPr>
            <w:tcW w:w="2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or Programs</w:t>
            </w:r>
          </w:p>
        </w:tc>
        <w:tc>
          <w:tcPr>
            <w:tcW w:w="160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18"/>
                <w:szCs w:val="18"/>
                <w:color w:val="auto"/>
              </w:rPr>
              <w:t xml:space="preserve">Programs </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through July 31, 2026</w:t>
            </w:r>
          </w:p>
        </w:tc>
        <w:tc>
          <w:tcPr>
            <w:tcW w:w="1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3,304</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34.98</w:t>
            </w:r>
          </w:p>
        </w:tc>
        <w:tc>
          <w:tcPr>
            <w:tcW w:w="200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130,000,000</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through August 31, 2026</w:t>
            </w:r>
          </w:p>
        </w:tc>
        <w:tc>
          <w:tcPr>
            <w:tcW w:w="1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272,521</w:t>
            </w:r>
          </w:p>
        </w:tc>
        <w:tc>
          <w:tcPr>
            <w:tcW w:w="400" w:type="dxa"/>
            <w:vAlign w:val="bottom"/>
          </w:tcPr>
          <w:p>
            <w:pPr>
              <w:spacing w:after="0"/>
              <w:rPr>
                <w:sz w:val="19"/>
                <w:szCs w:val="19"/>
                <w:color w:val="auto"/>
              </w:rPr>
            </w:pPr>
          </w:p>
        </w:tc>
        <w:tc>
          <w:tcPr>
            <w:tcW w:w="16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31.26</w:t>
            </w:r>
          </w:p>
        </w:tc>
        <w:tc>
          <w:tcPr>
            <w:tcW w:w="20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130,000,000</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through September 30, 2026</w:t>
            </w:r>
          </w:p>
        </w:tc>
        <w:tc>
          <w:tcPr>
            <w:tcW w:w="1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6,118</w:t>
            </w:r>
          </w:p>
        </w:tc>
        <w:tc>
          <w:tcPr>
            <w:tcW w:w="4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29.20</w:t>
            </w:r>
          </w:p>
        </w:tc>
        <w:tc>
          <w:tcPr>
            <w:tcW w:w="2000" w:type="dxa"/>
            <w:vAlign w:val="bottom"/>
            <w:tcBorders>
              <w:bottom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130,000,000</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281,943</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31.26</w:t>
            </w:r>
          </w:p>
        </w:tc>
        <w:tc>
          <w:tcPr>
            <w:tcW w:w="200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right="300" w:hanging="652"/>
        <w:spacing w:after="0" w:line="266" w:lineRule="auto"/>
        <w:tabs>
          <w:tab w:leader="none" w:pos="647"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During the current period, 1,258 shares were purchased on the open market on behalf of Kennametal to fund the Company’s dividend reinvestment program. Also, during the current period employees delivered 280,685 shares of restricted stock to Kennametal, upon vesting, to satisfy tax withholding requirements.</w:t>
      </w:r>
    </w:p>
    <w:p>
      <w:pPr>
        <w:spacing w:after="0" w:line="67" w:lineRule="exact"/>
        <w:rPr>
          <w:rFonts w:ascii="Times New Roman" w:cs="Times New Roman" w:eastAsia="Times New Roman" w:hAnsi="Times New Roman"/>
          <w:sz w:val="9"/>
          <w:szCs w:val="9"/>
          <w:color w:val="auto"/>
        </w:rPr>
      </w:pPr>
    </w:p>
    <w:p>
      <w:pPr>
        <w:ind w:left="660" w:right="740" w:hanging="652"/>
        <w:spacing w:after="0" w:line="282" w:lineRule="auto"/>
        <w:tabs>
          <w:tab w:leader="none" w:pos="647"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In February 2024, the Board of Directors of the Company authorized a $200 million, three-year share repurchase program outside of the Company's dividend reinvestment program.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151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31</w:t>
            </w:r>
          </w:p>
        </w:tc>
        <w:tc>
          <w:tcPr>
            <w:tcW w:w="59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Rule 13a-14(a)/15d-14(a) Certifications</w:t>
            </w:r>
          </w:p>
        </w:tc>
        <w:tc>
          <w:tcPr>
            <w:tcW w:w="1260" w:type="dxa"/>
            <w:vAlign w:val="bottom"/>
          </w:tcPr>
          <w:p>
            <w:pPr>
              <w:spacing w:after="0"/>
              <w:rPr>
                <w:sz w:val="20"/>
                <w:szCs w:val="20"/>
                <w:color w:val="auto"/>
              </w:rPr>
            </w:pPr>
          </w:p>
        </w:tc>
      </w:tr>
      <w:tr>
        <w:trPr>
          <w:trHeight w:val="194"/>
        </w:trPr>
        <w:tc>
          <w:tcPr>
            <w:tcW w:w="18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31.1</w:t>
            </w:r>
          </w:p>
        </w:tc>
        <w:tc>
          <w:tcPr>
            <w:tcW w:w="592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Certification executed by Sanjay Chowbey, President and Chief Executive</w:t>
            </w:r>
          </w:p>
        </w:tc>
        <w:tc>
          <w:tcPr>
            <w:tcW w:w="126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w w:val="97"/>
              </w:rPr>
              <w:t>Filed herewith.</w:t>
            </w:r>
          </w:p>
        </w:tc>
      </w:tr>
      <w:tr>
        <w:trPr>
          <w:trHeight w:val="155"/>
        </w:trPr>
        <w:tc>
          <w:tcPr>
            <w:tcW w:w="1820" w:type="dxa"/>
            <w:vAlign w:val="bottom"/>
          </w:tcPr>
          <w:p>
            <w:pPr>
              <w:spacing w:after="0"/>
              <w:rPr>
                <w:sz w:val="13"/>
                <w:szCs w:val="13"/>
                <w:color w:val="auto"/>
              </w:rPr>
            </w:pPr>
          </w:p>
        </w:tc>
        <w:tc>
          <w:tcPr>
            <w:tcW w:w="19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Officer of Kennametal Inc.</w:t>
            </w:r>
          </w:p>
        </w:tc>
        <w:tc>
          <w:tcPr>
            <w:tcW w:w="3400" w:type="dxa"/>
            <w:vAlign w:val="bottom"/>
            <w:tcBorders>
              <w:top w:val="single" w:sz="8" w:color="0000FF"/>
            </w:tcBorders>
            <w:gridSpan w:val="4"/>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23"/>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9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executed by Patrick S. Watson, Vice President and Chief Financial</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156"/>
        </w:trPr>
        <w:tc>
          <w:tcPr>
            <w:tcW w:w="1820" w:type="dxa"/>
            <w:vAlign w:val="bottom"/>
          </w:tcPr>
          <w:p>
            <w:pPr>
              <w:spacing w:after="0"/>
              <w:rPr>
                <w:sz w:val="13"/>
                <w:szCs w:val="13"/>
                <w:color w:val="auto"/>
              </w:rPr>
            </w:pPr>
          </w:p>
        </w:tc>
        <w:tc>
          <w:tcPr>
            <w:tcW w:w="19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Officer of Kennametal Inc.</w:t>
            </w:r>
          </w:p>
        </w:tc>
        <w:tc>
          <w:tcPr>
            <w:tcW w:w="3780" w:type="dxa"/>
            <w:vAlign w:val="bottom"/>
            <w:tcBorders>
              <w:top w:val="single" w:sz="8" w:color="0000FF"/>
            </w:tcBorders>
            <w:gridSpan w:val="6"/>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59"/>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32</w:t>
            </w:r>
          </w:p>
        </w:tc>
        <w:tc>
          <w:tcPr>
            <w:tcW w:w="59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tc>
        <w:tc>
          <w:tcPr>
            <w:tcW w:w="1260" w:type="dxa"/>
            <w:vAlign w:val="bottom"/>
          </w:tcPr>
          <w:p>
            <w:pPr>
              <w:spacing w:after="0"/>
              <w:rPr>
                <w:sz w:val="22"/>
                <w:szCs w:val="22"/>
                <w:color w:val="auto"/>
              </w:rPr>
            </w:pPr>
          </w:p>
        </w:tc>
      </w:tr>
      <w:tr>
        <w:trPr>
          <w:trHeight w:val="194"/>
        </w:trPr>
        <w:tc>
          <w:tcPr>
            <w:tcW w:w="18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32.1</w:t>
            </w:r>
          </w:p>
        </w:tc>
        <w:tc>
          <w:tcPr>
            <w:tcW w:w="592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w:t>
            </w:r>
          </w:p>
        </w:tc>
        <w:tc>
          <w:tcPr>
            <w:tcW w:w="126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w w:val="97"/>
              </w:rPr>
              <w:t>Filed herewith.</w:t>
            </w:r>
          </w:p>
        </w:tc>
      </w:tr>
      <w:tr>
        <w:trPr>
          <w:trHeight w:val="20"/>
        </w:trPr>
        <w:tc>
          <w:tcPr>
            <w:tcW w:w="1820" w:type="dxa"/>
            <w:vAlign w:val="bottom"/>
          </w:tcPr>
          <w:p>
            <w:pPr>
              <w:spacing w:after="0" w:line="20" w:lineRule="exact"/>
              <w:rPr>
                <w:sz w:val="1"/>
                <w:szCs w:val="1"/>
                <w:color w:val="auto"/>
              </w:rPr>
            </w:pPr>
          </w:p>
        </w:tc>
        <w:tc>
          <w:tcPr>
            <w:tcW w:w="51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56"/>
        </w:trPr>
        <w:tc>
          <w:tcPr>
            <w:tcW w:w="1820" w:type="dxa"/>
            <w:vAlign w:val="bottom"/>
          </w:tcPr>
          <w:p>
            <w:pPr>
              <w:spacing w:after="0"/>
              <w:rPr>
                <w:sz w:val="13"/>
                <w:szCs w:val="13"/>
                <w:color w:val="auto"/>
              </w:rPr>
            </w:pPr>
          </w:p>
        </w:tc>
        <w:tc>
          <w:tcPr>
            <w:tcW w:w="592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Section 906 of the Sarbanes-Oxley Act of 2002, executed by Sanjay Chowbey,</w:t>
            </w:r>
          </w:p>
        </w:tc>
        <w:tc>
          <w:tcPr>
            <w:tcW w:w="1260" w:type="dxa"/>
            <w:vAlign w:val="bottom"/>
          </w:tcPr>
          <w:p>
            <w:pPr>
              <w:spacing w:after="0"/>
              <w:rPr>
                <w:sz w:val="13"/>
                <w:szCs w:val="13"/>
                <w:color w:val="auto"/>
              </w:rPr>
            </w:pPr>
          </w:p>
        </w:tc>
      </w:tr>
      <w:tr>
        <w:trPr>
          <w:trHeight w:val="156"/>
        </w:trPr>
        <w:tc>
          <w:tcPr>
            <w:tcW w:w="1820" w:type="dxa"/>
            <w:vAlign w:val="bottom"/>
          </w:tcPr>
          <w:p>
            <w:pPr>
              <w:spacing w:after="0"/>
              <w:rPr>
                <w:sz w:val="13"/>
                <w:szCs w:val="13"/>
                <w:color w:val="auto"/>
              </w:rPr>
            </w:pPr>
          </w:p>
        </w:tc>
        <w:tc>
          <w:tcPr>
            <w:tcW w:w="568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President and Chief Executive Officer of Kennametal Inc., and Patrick S.</w:t>
            </w:r>
          </w:p>
        </w:tc>
        <w:tc>
          <w:tcPr>
            <w:tcW w:w="240" w:type="dxa"/>
            <w:vAlign w:val="bottom"/>
            <w:gridSpan w:val="2"/>
          </w:tcPr>
          <w:p>
            <w:pPr>
              <w:spacing w:after="0"/>
              <w:rPr>
                <w:sz w:val="13"/>
                <w:szCs w:val="13"/>
                <w:color w:val="auto"/>
              </w:rPr>
            </w:pPr>
          </w:p>
        </w:tc>
        <w:tc>
          <w:tcPr>
            <w:tcW w:w="1260" w:type="dxa"/>
            <w:vAlign w:val="bottom"/>
          </w:tcPr>
          <w:p>
            <w:pPr>
              <w:spacing w:after="0"/>
              <w:rPr>
                <w:sz w:val="13"/>
                <w:szCs w:val="13"/>
                <w:color w:val="auto"/>
              </w:rPr>
            </w:pPr>
          </w:p>
        </w:tc>
      </w:tr>
      <w:tr>
        <w:trPr>
          <w:trHeight w:val="169"/>
        </w:trPr>
        <w:tc>
          <w:tcPr>
            <w:tcW w:w="1820" w:type="dxa"/>
            <w:vAlign w:val="bottom"/>
          </w:tcPr>
          <w:p>
            <w:pPr>
              <w:spacing w:after="0"/>
              <w:rPr>
                <w:sz w:val="14"/>
                <w:szCs w:val="14"/>
                <w:color w:val="auto"/>
              </w:rPr>
            </w:pPr>
          </w:p>
        </w:tc>
        <w:tc>
          <w:tcPr>
            <w:tcW w:w="514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Watson, Vice President and Chief Financial Officer of Kennametal Inc.</w:t>
            </w:r>
          </w:p>
        </w:tc>
        <w:tc>
          <w:tcPr>
            <w:tcW w:w="140" w:type="dxa"/>
            <w:vAlign w:val="bottom"/>
            <w:tcBorders>
              <w:top w:val="single" w:sz="8" w:color="0000FF"/>
            </w:tcBorders>
            <w:gridSpan w:val="2"/>
          </w:tcPr>
          <w:p>
            <w:pPr>
              <w:spacing w:after="0"/>
              <w:rPr>
                <w:sz w:val="14"/>
                <w:szCs w:val="14"/>
                <w:color w:val="auto"/>
              </w:rPr>
            </w:pPr>
          </w:p>
        </w:tc>
        <w:tc>
          <w:tcPr>
            <w:tcW w:w="640" w:type="dxa"/>
            <w:vAlign w:val="bottom"/>
            <w:gridSpan w:val="4"/>
          </w:tcPr>
          <w:p>
            <w:pPr>
              <w:spacing w:after="0"/>
              <w:rPr>
                <w:sz w:val="14"/>
                <w:szCs w:val="14"/>
                <w:color w:val="auto"/>
              </w:rPr>
            </w:pPr>
          </w:p>
        </w:tc>
        <w:tc>
          <w:tcPr>
            <w:tcW w:w="1260" w:type="dxa"/>
            <w:vAlign w:val="bottom"/>
          </w:tcPr>
          <w:p>
            <w:pPr>
              <w:spacing w:after="0"/>
              <w:rPr>
                <w:sz w:val="14"/>
                <w:szCs w:val="14"/>
                <w:color w:val="auto"/>
              </w:rPr>
            </w:pPr>
          </w:p>
        </w:tc>
      </w:tr>
      <w:tr>
        <w:trPr>
          <w:trHeight w:val="242"/>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w:t>
            </w:r>
          </w:p>
        </w:tc>
        <w:tc>
          <w:tcPr>
            <w:tcW w:w="59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XBRL</w:t>
            </w:r>
          </w:p>
        </w:tc>
        <w:tc>
          <w:tcPr>
            <w:tcW w:w="1260" w:type="dxa"/>
            <w:vAlign w:val="bottom"/>
          </w:tcPr>
          <w:p>
            <w:pPr>
              <w:spacing w:after="0"/>
              <w:rPr>
                <w:sz w:val="21"/>
                <w:szCs w:val="21"/>
                <w:color w:val="auto"/>
              </w:rPr>
            </w:pPr>
          </w:p>
        </w:tc>
      </w:tr>
      <w:tr>
        <w:trPr>
          <w:trHeight w:val="229"/>
        </w:trPr>
        <w:tc>
          <w:tcPr>
            <w:tcW w:w="18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101.INS </w:t>
            </w:r>
            <w:r>
              <w:rPr>
                <w:rFonts w:ascii="Times New Roman" w:cs="Times New Roman" w:eastAsia="Times New Roman" w:hAnsi="Times New Roman"/>
                <w:sz w:val="23"/>
                <w:szCs w:val="23"/>
                <w:color w:val="auto"/>
                <w:vertAlign w:val="superscript"/>
              </w:rPr>
              <w:t>(3)</w:t>
            </w:r>
          </w:p>
        </w:tc>
        <w:tc>
          <w:tcPr>
            <w:tcW w:w="5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229"/>
        </w:trPr>
        <w:tc>
          <w:tcPr>
            <w:tcW w:w="18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101.SCH </w:t>
            </w:r>
            <w:r>
              <w:rPr>
                <w:rFonts w:ascii="Times New Roman" w:cs="Times New Roman" w:eastAsia="Times New Roman" w:hAnsi="Times New Roman"/>
                <w:sz w:val="23"/>
                <w:szCs w:val="23"/>
                <w:color w:val="auto"/>
                <w:vertAlign w:val="superscript"/>
              </w:rPr>
              <w:t>(4)</w:t>
            </w:r>
          </w:p>
        </w:tc>
        <w:tc>
          <w:tcPr>
            <w:tcW w:w="5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230"/>
        </w:trPr>
        <w:tc>
          <w:tcPr>
            <w:tcW w:w="18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101.CAL </w:t>
            </w:r>
            <w:r>
              <w:rPr>
                <w:rFonts w:ascii="Times New Roman" w:cs="Times New Roman" w:eastAsia="Times New Roman" w:hAnsi="Times New Roman"/>
                <w:sz w:val="23"/>
                <w:szCs w:val="23"/>
                <w:color w:val="auto"/>
                <w:vertAlign w:val="superscript"/>
              </w:rPr>
              <w:t>(4)</w:t>
            </w:r>
          </w:p>
        </w:tc>
        <w:tc>
          <w:tcPr>
            <w:tcW w:w="5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229"/>
        </w:trPr>
        <w:tc>
          <w:tcPr>
            <w:tcW w:w="18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101.DEF </w:t>
            </w:r>
            <w:r>
              <w:rPr>
                <w:rFonts w:ascii="Times New Roman" w:cs="Times New Roman" w:eastAsia="Times New Roman" w:hAnsi="Times New Roman"/>
                <w:sz w:val="23"/>
                <w:szCs w:val="23"/>
                <w:color w:val="auto"/>
                <w:vertAlign w:val="superscript"/>
              </w:rPr>
              <w:t>(4)</w:t>
            </w:r>
          </w:p>
        </w:tc>
        <w:tc>
          <w:tcPr>
            <w:tcW w:w="5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Definition Linkbase</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229"/>
        </w:trPr>
        <w:tc>
          <w:tcPr>
            <w:tcW w:w="18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101.LAB </w:t>
            </w:r>
            <w:r>
              <w:rPr>
                <w:rFonts w:ascii="Times New Roman" w:cs="Times New Roman" w:eastAsia="Times New Roman" w:hAnsi="Times New Roman"/>
                <w:sz w:val="23"/>
                <w:szCs w:val="23"/>
                <w:color w:val="auto"/>
                <w:vertAlign w:val="superscript"/>
              </w:rPr>
              <w:t>(4)</w:t>
            </w:r>
          </w:p>
        </w:tc>
        <w:tc>
          <w:tcPr>
            <w:tcW w:w="5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30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101.PRE </w:t>
            </w:r>
            <w:r>
              <w:rPr>
                <w:rFonts w:ascii="Times New Roman" w:cs="Times New Roman" w:eastAsia="Times New Roman" w:hAnsi="Times New Roman"/>
                <w:sz w:val="23"/>
                <w:szCs w:val="23"/>
                <w:color w:val="auto"/>
                <w:vertAlign w:val="superscript"/>
              </w:rPr>
              <w:t>(4)</w:t>
            </w:r>
          </w:p>
        </w:tc>
        <w:tc>
          <w:tcPr>
            <w:tcW w:w="5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Filed herewith.</w:t>
            </w:r>
          </w:p>
        </w:tc>
      </w:tr>
    </w:tbl>
    <w:p>
      <w:pPr>
        <w:spacing w:after="0" w:line="34" w:lineRule="exact"/>
        <w:rPr>
          <w:sz w:val="20"/>
          <w:szCs w:val="20"/>
          <w:color w:val="auto"/>
        </w:rPr>
      </w:pPr>
    </w:p>
    <w:p>
      <w:pPr>
        <w:ind w:left="660" w:right="660" w:hanging="652"/>
        <w:spacing w:after="0" w:line="261" w:lineRule="auto"/>
        <w:tabs>
          <w:tab w:leader="none" w:pos="65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instance document does not appear in the Interactive Data File because its XBRL (Extensible Business Reporting Language) tags are embedded within the Inline XBRL document.</w:t>
      </w:r>
    </w:p>
    <w:p>
      <w:pPr>
        <w:ind w:left="660" w:hanging="652"/>
        <w:spacing w:after="0" w:line="253" w:lineRule="auto"/>
        <w:tabs>
          <w:tab w:leader="none" w:pos="65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Attached as Exhibit 101 to this report are the following documents formatted in Inline XBRL: (i) the Condensed Consolidated Statements of Income for the three months ended September 30, 2026 and 2025, (ii) the Condensed Consolidated Statements of Comprehensive Income for the three months ended September 30, 2026 and 2025, (iii) the Condensed Consolidated Balance Sheets at September 30, 2026 and June 30, 2026, (iv) the Condensed Consolidated Statements of Cash Flows for the three months ended September 30, 2026 and 2025 and (v) Notes to Condensed Consolidated Financial Statements for the three months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6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b w:val="1"/>
          <w:bCs w:val="1"/>
          <w:color w:val="auto"/>
        </w:rPr>
        <w:t>KENNAMETAL INC.</w:t>
      </w:r>
    </w:p>
    <w:p>
      <w:pPr>
        <w:spacing w:after="0" w:line="297" w:lineRule="exact"/>
        <w:rPr>
          <w:sz w:val="20"/>
          <w:szCs w:val="20"/>
          <w:color w:val="auto"/>
        </w:rPr>
      </w:pPr>
    </w:p>
    <w:p>
      <w:pPr>
        <w:ind w:left="20"/>
        <w:spacing w:after="0"/>
        <w:tabs>
          <w:tab w:leader="none" w:pos="620" w:val="left"/>
          <w:tab w:leader="none" w:pos="5380" w:val="left"/>
          <w:tab w:leader="none" w:pos="6220" w:val="left"/>
        </w:tabs>
        <w:rPr>
          <w:sz w:val="20"/>
          <w:szCs w:val="20"/>
          <w:color w:val="auto"/>
        </w:rPr>
      </w:pPr>
      <w:r>
        <w:rPr>
          <w:rFonts w:ascii="Times New Roman" w:cs="Times New Roman" w:eastAsia="Times New Roman" w:hAnsi="Times New Roman"/>
          <w:sz w:val="18"/>
          <w:szCs w:val="18"/>
          <w:color w:val="auto"/>
        </w:rPr>
        <w:t>Date:</w:t>
        <w:tab/>
        <w:t>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W. 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17145</wp:posOffset>
            </wp:positionV>
            <wp:extent cx="29229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John W. Witt</w:t>
      </w:r>
    </w:p>
    <w:p>
      <w:pPr>
        <w:ind w:left="6240"/>
        <w:spacing w:after="0"/>
        <w:rPr>
          <w:sz w:val="20"/>
          <w:szCs w:val="20"/>
          <w:color w:val="auto"/>
        </w:rPr>
      </w:pPr>
      <w:r>
        <w:rPr>
          <w:rFonts w:ascii="Times New Roman" w:cs="Times New Roman" w:eastAsia="Times New Roman" w:hAnsi="Times New Roman"/>
          <w:sz w:val="18"/>
          <w:szCs w:val="18"/>
          <w:color w:val="auto"/>
        </w:rPr>
        <w:t>Vice President Finance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1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Sanjay Chowbey, certify that:</w:t>
      </w:r>
    </w:p>
    <w:p>
      <w:pPr>
        <w:spacing w:after="0" w:line="144"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Kennametal Inc.;</w:t>
      </w:r>
    </w:p>
    <w:p>
      <w:pPr>
        <w:spacing w:after="0" w:line="15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660" w:right="18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08"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tabs>
          <w:tab w:leader="none" w:pos="600" w:val="left"/>
          <w:tab w:leader="none" w:pos="6680" w:val="left"/>
        </w:tabs>
        <w:rPr>
          <w:sz w:val="20"/>
          <w:szCs w:val="20"/>
          <w:color w:val="auto"/>
        </w:rPr>
      </w:pPr>
      <w:r>
        <w:rPr>
          <w:rFonts w:ascii="Times New Roman" w:cs="Times New Roman" w:eastAsia="Times New Roman" w:hAnsi="Times New Roman"/>
          <w:sz w:val="18"/>
          <w:szCs w:val="18"/>
          <w:color w:val="auto"/>
        </w:rPr>
        <w:t>Date:</w:t>
        <w:tab/>
        <w:t>November 4, 2026</w:t>
      </w:r>
      <w:r>
        <w:rPr>
          <w:sz w:val="20"/>
          <w:szCs w:val="20"/>
          <w:color w:val="auto"/>
        </w:rPr>
        <w:tab/>
      </w:r>
      <w:r>
        <w:rPr>
          <w:rFonts w:ascii="Times New Roman" w:cs="Times New Roman" w:eastAsia="Times New Roman" w:hAnsi="Times New Roman"/>
          <w:sz w:val="17"/>
          <w:szCs w:val="17"/>
          <w:color w:val="auto"/>
        </w:rPr>
        <w:t>/s/ Sanjay Chowbey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17145</wp:posOffset>
            </wp:positionV>
            <wp:extent cx="28803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Sanjay Chowbey</w:t>
      </w:r>
    </w:p>
    <w:p>
      <w:pPr>
        <w:ind w:left="67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S. Watson, certify that:</w:t>
      </w:r>
    </w:p>
    <w:p>
      <w:pPr>
        <w:spacing w:after="0" w:line="144"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Kennametal Inc.;</w:t>
      </w:r>
    </w:p>
    <w:p>
      <w:pPr>
        <w:spacing w:after="0" w:line="15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660" w:right="18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08"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600" w:val="left"/>
          <w:tab w:leader="none" w:pos="6680" w:val="left"/>
        </w:tabs>
        <w:rPr>
          <w:sz w:val="20"/>
          <w:szCs w:val="20"/>
          <w:color w:val="auto"/>
        </w:rPr>
      </w:pPr>
      <w:r>
        <w:rPr>
          <w:rFonts w:ascii="Times New Roman" w:cs="Times New Roman" w:eastAsia="Times New Roman" w:hAnsi="Times New Roman"/>
          <w:sz w:val="18"/>
          <w:szCs w:val="18"/>
          <w:color w:val="auto"/>
        </w:rPr>
        <w:t>Date:</w:t>
        <w:tab/>
        <w:t>November 4, 2026</w:t>
      </w:r>
      <w:r>
        <w:rPr>
          <w:sz w:val="20"/>
          <w:szCs w:val="20"/>
          <w:color w:val="auto"/>
        </w:rPr>
        <w:tab/>
      </w:r>
      <w:r>
        <w:rPr>
          <w:rFonts w:ascii="Times New Roman" w:cs="Times New Roman" w:eastAsia="Times New Roman" w:hAnsi="Times New Roman"/>
          <w:sz w:val="17"/>
          <w:szCs w:val="17"/>
          <w:color w:val="auto"/>
        </w:rPr>
        <w:t>/s/ Patrick S.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17145</wp:posOffset>
            </wp:positionV>
            <wp:extent cx="28803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Patrick S. Watson</w:t>
      </w:r>
    </w:p>
    <w:p>
      <w:pPr>
        <w:ind w:left="670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ectPr>
          <w:pgSz w:w="11900" w:h="16838" w:orient="portrait"/>
          <w:cols w:equalWidth="0" w:num="1">
            <w:col w:w="11240"/>
          </w:cols>
          <w:pgMar w:left="320" w:top="89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61"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Kennametal Inc. (the “Corporation”) on Form 10-Q for the period ended September 30, 2026, as filed with the Securities and Exchange Commission on the date hereof (the “Report”), each of the undersigned officers of the Corporation certifies, pursuant to 18 U.S.C. § 1350, as adopted pursuant to Section 906 of the Sarbanes-Oxley Act of 2002, that, to his knowledge:</w:t>
      </w:r>
    </w:p>
    <w:p>
      <w:pPr>
        <w:spacing w:after="0" w:line="284" w:lineRule="exact"/>
        <w:rPr>
          <w:sz w:val="20"/>
          <w:szCs w:val="20"/>
          <w:color w:val="auto"/>
        </w:rPr>
      </w:pPr>
    </w:p>
    <w:p>
      <w:pPr>
        <w:ind w:left="960" w:hanging="62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980" w:right="680" w:hanging="648"/>
        <w:spacing w:after="0" w:line="282" w:lineRule="auto"/>
        <w:tabs>
          <w:tab w:leader="none" w:pos="9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Sanjay Chowbey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803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Sanjay Chowbey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4, 2026</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Patrick S.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803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Patrick S. Watson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is made solely for purposes of 18 U.S.C. Section 1350, subject to the knowledge standard contained therein, and not for any other purpose.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2"/>
    </w:lvl>
  </w:abstractNum>
  <w:abstractNum w:abstractNumId="8">
    <w:nsid w:val="7FDCC233"/>
    <w:multiLevelType w:val="hybridMultilevel"/>
    <w:lvl w:ilvl="0">
      <w:lvlJc w:val="left"/>
      <w:lvlText w:val="%1."/>
      <w:numFmt w:val="decimal"/>
      <w:start w:val="11"/>
    </w:lvl>
  </w:abstractNum>
  <w:abstractNum w:abstractNumId="9">
    <w:nsid w:val="1BEFD79F"/>
    <w:multiLevelType w:val="hybridMultilevel"/>
    <w:lvl w:ilvl="0">
      <w:lvlJc w:val="left"/>
      <w:lvlText w:val="%1."/>
      <w:numFmt w:val="decimal"/>
      <w:start w:val="12"/>
    </w:lvl>
  </w:abstractNum>
  <w:abstractNum w:abstractNumId="10">
    <w:nsid w:val="41A7C4C9"/>
    <w:multiLevelType w:val="hybridMultilevel"/>
    <w:lvl w:ilvl="0">
      <w:lvlJc w:val="left"/>
      <w:lvlText w:val="%1."/>
      <w:numFmt w:val="decimal"/>
      <w:start w:val="13"/>
    </w:lvl>
  </w:abstractNum>
  <w:abstractNum w:abstractNumId="11">
    <w:nsid w:val="6B68079A"/>
    <w:multiLevelType w:val="hybridMultilevel"/>
    <w:lvl w:ilvl="0">
      <w:lvlJc w:val="left"/>
      <w:lvlText w:val="(%1)"/>
      <w:numFmt w:val="decimal"/>
      <w:start w:val="2"/>
    </w:lvl>
  </w:abstractNum>
  <w:abstractNum w:abstractNumId="12">
    <w:nsid w:val="4E6AFB66"/>
    <w:multiLevelType w:val="hybridMultilevel"/>
    <w:lvl w:ilvl="0">
      <w:lvlJc w:val="left"/>
      <w:lvlText w:val="%1."/>
      <w:numFmt w:val="decimal"/>
      <w:start w:val="18"/>
    </w:lvl>
  </w:abstractNum>
  <w:abstractNum w:abstractNumId="13">
    <w:nsid w:val="25E45D32"/>
    <w:multiLevelType w:val="hybridMultilevel"/>
    <w:lvl w:ilvl="0">
      <w:lvlJc w:val="left"/>
      <w:lvlText w:val="(%1)"/>
      <w:numFmt w:val="decimal"/>
      <w:start w:val="3"/>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3"/>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2026-11-04T13:13:22Z</dcterms:created>
  <dcterms:modified xsi:type="dcterms:W3CDTF">2026-11-04T13:13:22Z</dcterms:modified>
</cp:coreProperties>
</file>