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Chowbey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36" w:lineRule="auto"/>
        <w:rPr>
          <w:sz w:val="20"/>
          <w:szCs w:val="20"/>
          <w:color w:val="auto"/>
        </w:rPr>
      </w:pPr>
      <w:r>
        <w:rPr>
          <w:rFonts w:ascii="Times New Roman" w:cs="Times New Roman" w:eastAsia="Times New Roman" w:hAnsi="Times New Roman"/>
          <w:sz w:val="17"/>
          <w:szCs w:val="17"/>
          <w:color w:val="0000FF"/>
        </w:rPr>
        <w:t>525 WILLIAM PENN PLACE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KENNAMETAL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KMT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15219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11/05/2026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7,000</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23.624</w:t>
            </w:r>
            <w:r>
              <w:rPr>
                <w:rFonts w:ascii="Times New Roman" w:cs="Times New Roman" w:eastAsia="Times New Roman" w:hAnsi="Times New Roman"/>
                <w:sz w:val="22"/>
                <w:szCs w:val="22"/>
                <w:color w:val="008000"/>
                <w:vertAlign w:val="superscript"/>
              </w:rPr>
              <w:t>(1)</w:t>
            </w:r>
          </w:p>
        </w:tc>
        <w:tc>
          <w:tcPr>
            <w:tcW w:w="12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280,957.373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$23.50 to $23.79, inclusive. The reporting person undertakes to provide to Kennametal Inc., any security holder of Kennametal Inc., or the staff of the Securities and Exchange Commission, upon request, full information regarding the number of shares purchased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540.35 shares held in the Kennametal Inc. 401(k) Plan</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Michelle R. Keating,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Sanjay K.</w:t>
        <w:tab/>
        <w:t>11/06/2026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Chowbey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1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2435" TargetMode="External"/><Relationship Id="rId14" Type="http://schemas.openxmlformats.org/officeDocument/2006/relationships/hyperlink" Target="http://www.sec.gov/cgi-bin/browse-edgar?action=getcompany&amp;CIK=00000552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2026-11-06T11:58:30Z</dcterms:created>
  <dcterms:modified xsi:type="dcterms:W3CDTF">2026-11-06T11:58:30Z</dcterms:modified>
</cp:coreProperties>
</file>