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826135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27, 2026</w:t>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Kennametal Inc.</w:t>
      </w: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29"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Pennsylvania</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1-5318</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25-0900168</w:t>
      </w:r>
    </w:p>
    <w:p>
      <w:pPr>
        <w:spacing w:after="0" w:line="92" w:lineRule="exact"/>
        <w:rPr>
          <w:sz w:val="24"/>
          <w:szCs w:val="24"/>
          <w:color w:val="auto"/>
        </w:rPr>
      </w:pPr>
    </w:p>
    <w:p>
      <w:pPr>
        <w:sectPr>
          <w:pgSz w:w="11900" w:h="16838" w:orient="portrait"/>
          <w:cols w:equalWidth="0" w:num="3">
            <w:col w:w="4740" w:space="720"/>
            <w:col w:w="2680" w:space="720"/>
            <w:col w:w="2380"/>
          </w:cols>
          <w:pgMar w:left="320" w:top="1440" w:right="33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4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000" w:space="720"/>
            <w:col w:w="2440" w:space="720"/>
            <w:col w:w="3360"/>
          </w:cols>
          <w:pgMar w:left="320" w:top="1440" w:right="339" w:bottom="1440" w:gutter="0" w:footer="0" w:header="0"/>
          <w:type w:val="continuous"/>
        </w:sectPr>
      </w:pPr>
    </w:p>
    <w:p>
      <w:pPr>
        <w:spacing w:after="0" w:line="89"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525 William Penn Place</w:t>
      </w:r>
    </w:p>
    <w:p>
      <w:pPr>
        <w:spacing w:after="0" w:line="3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Suite 3300</w:t>
      </w:r>
    </w:p>
    <w:p>
      <w:pPr>
        <w:spacing w:after="0" w:line="23"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7"/>
          <w:szCs w:val="17"/>
          <w:b w:val="1"/>
          <w:bCs w:val="1"/>
          <w:color w:val="auto"/>
        </w:rPr>
        <w:t>Pittsburgh, 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15219</w:t>
      </w:r>
    </w:p>
    <w:p>
      <w:pPr>
        <w:spacing w:after="0" w:line="81" w:lineRule="exact"/>
        <w:rPr>
          <w:sz w:val="24"/>
          <w:szCs w:val="24"/>
          <w:color w:val="auto"/>
        </w:rPr>
      </w:pPr>
    </w:p>
    <w:p>
      <w:pPr>
        <w:sectPr>
          <w:pgSz w:w="11900" w:h="16838" w:orient="portrait"/>
          <w:cols w:equalWidth="0" w:num="2">
            <w:col w:w="8340" w:space="720"/>
            <w:col w:w="2180"/>
          </w:cols>
          <w:pgMar w:left="320" w:top="1440"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8180" w:space="720"/>
            <w:col w:w="2340"/>
          </w:cols>
          <w:pgMar w:left="320" w:top="1440" w:right="339" w:bottom="1440" w:gutter="0" w:footer="0" w:header="0"/>
          <w:type w:val="continuous"/>
        </w:sectPr>
      </w:pP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(412) 248-8000</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3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9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36"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40" w:hanging="232"/>
        <w:spacing w:after="0"/>
        <w:tabs>
          <w:tab w:leader="none" w:pos="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30" w:lineRule="exact"/>
        <w:rPr>
          <w:sz w:val="24"/>
          <w:szCs w:val="24"/>
          <w:color w:val="auto"/>
        </w:rPr>
      </w:pPr>
    </w:p>
    <w:p>
      <w:pPr>
        <w:ind w:right="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6"/>
          <w:szCs w:val="16"/>
          <w:color w:val="auto"/>
        </w:rPr>
        <w:t>☐</w:t>
      </w:r>
    </w:p>
    <w:p>
      <w:pPr>
        <w:spacing w:after="0" w:line="48"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2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8"/>
        </w:trPr>
        <w:tc>
          <w:tcPr>
            <w:tcW w:w="160" w:type="dxa"/>
            <w:vAlign w:val="bottom"/>
          </w:tcPr>
          <w:p>
            <w:pPr>
              <w:spacing w:after="0"/>
              <w:rPr>
                <w:sz w:val="21"/>
                <w:szCs w:val="21"/>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Capital Stock, par value $1.25 per share</w:t>
            </w:r>
          </w:p>
        </w:tc>
        <w:tc>
          <w:tcPr>
            <w:tcW w:w="2320" w:type="dxa"/>
            <w:vAlign w:val="bottom"/>
          </w:tcPr>
          <w:p>
            <w:pPr>
              <w:jc w:val="center"/>
              <w:ind w:left="39"/>
              <w:spacing w:after="0"/>
              <w:rPr>
                <w:sz w:val="20"/>
                <w:szCs w:val="20"/>
                <w:color w:val="auto"/>
              </w:rPr>
            </w:pPr>
            <w:r>
              <w:rPr>
                <w:rFonts w:ascii="Times New Roman" w:cs="Times New Roman" w:eastAsia="Times New Roman" w:hAnsi="Times New Roman"/>
                <w:sz w:val="18"/>
                <w:szCs w:val="18"/>
                <w:color w:val="auto"/>
                <w:w w:val="99"/>
              </w:rPr>
              <w:t>KMT</w:t>
            </w: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160" w:type="dxa"/>
            <w:vAlign w:val="bottom"/>
          </w:tcPr>
          <w:p>
            <w:pPr>
              <w:spacing w:after="0"/>
              <w:rPr>
                <w:sz w:val="20"/>
                <w:szCs w:val="20"/>
                <w:color w:val="auto"/>
              </w:rPr>
            </w:pPr>
          </w:p>
        </w:tc>
        <w:tc>
          <w:tcPr>
            <w:tcW w:w="462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9"/>
              </w:rPr>
              <w:t>Preferred Stock Purchase Rights</w:t>
            </w:r>
          </w:p>
        </w:tc>
        <w:tc>
          <w:tcPr>
            <w:tcW w:w="2320" w:type="dxa"/>
            <w:vAlign w:val="bottom"/>
          </w:tcPr>
          <w:p>
            <w:pPr>
              <w:spacing w:after="0"/>
              <w:rPr>
                <w:sz w:val="20"/>
                <w:szCs w:val="20"/>
                <w:color w:val="auto"/>
              </w:rPr>
            </w:pPr>
          </w:p>
        </w:tc>
        <w:tc>
          <w:tcPr>
            <w:tcW w:w="4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45"/>
        </w:trPr>
        <w:tc>
          <w:tcPr>
            <w:tcW w:w="16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34"/>
        </w:trPr>
        <w:tc>
          <w:tcPr>
            <w:tcW w:w="16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215"/>
        </w:trPr>
        <w:tc>
          <w:tcPr>
            <w:tcW w:w="16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Annual Meeting of Shareowners of Kennametal Inc. (the "Company") on October 27, 2026, the Company's Shareowners voted on the election of nine directors with terms to expire in 2027, the ratification of the selection of PricewaterhouseCoopers LLP as the Company's independent registered public accounting firm for the fiscal year ending June 30, 2027 and an advisory vote on executive compensation. The 69,776,589 shares present in person or represented by proxy at the meeting were voted as described below.</w:t>
      </w:r>
    </w:p>
    <w:p>
      <w:pPr>
        <w:spacing w:after="0" w:line="72" w:lineRule="exact"/>
        <w:rPr>
          <w:sz w:val="20"/>
          <w:szCs w:val="20"/>
          <w:color w:val="auto"/>
        </w:rPr>
      </w:pPr>
    </w:p>
    <w:p>
      <w:pPr>
        <w:ind w:right="260" w:firstLine="8"/>
        <w:spacing w:after="0" w:line="282" w:lineRule="auto"/>
        <w:tabs>
          <w:tab w:leader="none" w:pos="28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nine directors listed below were elected to serve as directors until the next annual meeting of Shareowners in 2027 and until their successors are duly elected and qualified by the following vote: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86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For</w:t>
            </w: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Withheld</w:t>
            </w: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Alvarado</w:t>
            </w:r>
          </w:p>
        </w:tc>
        <w:tc>
          <w:tcPr>
            <w:tcW w:w="386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59,961,025</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5,598,847</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4,216,717</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Shelley Bausch</w:t>
            </w:r>
          </w:p>
        </w:tc>
        <w:tc>
          <w:tcPr>
            <w:tcW w:w="386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65,405,831</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154,041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4,216,717</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Sanjay Chowbey</w:t>
            </w:r>
          </w:p>
        </w:tc>
        <w:tc>
          <w:tcPr>
            <w:tcW w:w="386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65,382,330</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177,542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4,216,717</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Douglas T. Dietrich</w:t>
            </w:r>
          </w:p>
        </w:tc>
        <w:tc>
          <w:tcPr>
            <w:tcW w:w="386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64,227,240</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1,332,632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4,216,717</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J. Harshman</w:t>
            </w:r>
          </w:p>
        </w:tc>
        <w:tc>
          <w:tcPr>
            <w:tcW w:w="386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65,410,955</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148,917</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4,216,717</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Dawne Hickton</w:t>
            </w:r>
          </w:p>
        </w:tc>
        <w:tc>
          <w:tcPr>
            <w:tcW w:w="386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65,351,421</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208,451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4,216,717</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Lorraine M. Martin</w:t>
            </w:r>
          </w:p>
        </w:tc>
        <w:tc>
          <w:tcPr>
            <w:tcW w:w="386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63,752,590</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1,807,282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4,216,717</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Sagar A. Patel</w:t>
            </w:r>
          </w:p>
        </w:tc>
        <w:tc>
          <w:tcPr>
            <w:tcW w:w="386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64,368,904</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1,190,968</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4,216,717</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Sternlieb</w:t>
            </w:r>
          </w:p>
        </w:tc>
        <w:tc>
          <w:tcPr>
            <w:tcW w:w="386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65,418,184</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141,688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4,216,717</w:t>
            </w:r>
          </w:p>
        </w:tc>
      </w:tr>
    </w:tbl>
    <w:p>
      <w:pPr>
        <w:spacing w:after="0" w:line="200" w:lineRule="exact"/>
        <w:rPr>
          <w:sz w:val="20"/>
          <w:szCs w:val="20"/>
          <w:color w:val="auto"/>
        </w:rPr>
      </w:pPr>
    </w:p>
    <w:p>
      <w:pPr>
        <w:spacing w:after="0" w:line="335" w:lineRule="exact"/>
        <w:rPr>
          <w:sz w:val="20"/>
          <w:szCs w:val="20"/>
          <w:color w:val="auto"/>
        </w:rPr>
      </w:pPr>
    </w:p>
    <w:p>
      <w:pPr>
        <w:ind w:right="240" w:firstLine="8"/>
        <w:spacing w:after="0" w:line="282" w:lineRule="auto"/>
        <w:tabs>
          <w:tab w:leader="none" w:pos="3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PricewaterhouseCoopers LLP as the Company’s independent registered public accounting firm for the fiscal year ending June 30, 2027 was approved by the following vote: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56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For</w:t>
            </w: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Against</w:t>
            </w:r>
          </w:p>
        </w:tc>
        <w:tc>
          <w:tcPr>
            <w:tcW w:w="15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Abstained</w:t>
            </w:r>
          </w:p>
        </w:tc>
      </w:tr>
      <w:tr>
        <w:trPr>
          <w:trHeight w:val="23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PricewaterhouseCoopers LLP</w:t>
            </w:r>
          </w:p>
        </w:tc>
        <w:tc>
          <w:tcPr>
            <w:tcW w:w="356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67,567,969</w:t>
            </w: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2,190,188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18,432</w:t>
            </w:r>
          </w:p>
        </w:tc>
      </w:tr>
    </w:tbl>
    <w:p>
      <w:pPr>
        <w:spacing w:after="0" w:line="200" w:lineRule="exact"/>
        <w:rPr>
          <w:sz w:val="20"/>
          <w:szCs w:val="20"/>
          <w:color w:val="auto"/>
        </w:rPr>
      </w:pPr>
    </w:p>
    <w:p>
      <w:pPr>
        <w:spacing w:after="0" w:line="322" w:lineRule="exact"/>
        <w:rPr>
          <w:sz w:val="20"/>
          <w:szCs w:val="20"/>
          <w:color w:val="auto"/>
        </w:rPr>
      </w:pPr>
    </w:p>
    <w:p>
      <w:pPr>
        <w:ind w:right="200" w:firstLine="8"/>
        <w:spacing w:after="0" w:line="282" w:lineRule="auto"/>
        <w:tabs>
          <w:tab w:leader="none" w:pos="4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vote on executive compensation paid to the Company's named executive officers, as disclosed in the Company's proxy statement, was approved on an advisory basis by the following vote: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8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For</w:t>
            </w: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Against</w:t>
            </w:r>
          </w:p>
        </w:tc>
        <w:tc>
          <w:tcPr>
            <w:tcW w:w="16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Abstained</w:t>
            </w: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2860" w:type="dxa"/>
            <w:vAlign w:val="bottom"/>
            <w:shd w:val="clear" w:color="auto" w:fill="CCEEFF"/>
          </w:tcPr>
          <w:p>
            <w:pPr>
              <w:ind w:left="1820"/>
              <w:spacing w:after="0"/>
              <w:rPr>
                <w:sz w:val="20"/>
                <w:szCs w:val="20"/>
                <w:color w:val="auto"/>
              </w:rPr>
            </w:pPr>
            <w:r>
              <w:rPr>
                <w:rFonts w:ascii="Times New Roman" w:cs="Times New Roman" w:eastAsia="Times New Roman" w:hAnsi="Times New Roman"/>
                <w:sz w:val="18"/>
                <w:szCs w:val="18"/>
                <w:color w:val="auto"/>
              </w:rPr>
              <w:t>62,066,892</w:t>
            </w:r>
          </w:p>
        </w:tc>
        <w:tc>
          <w:tcPr>
            <w:tcW w:w="1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3,313,172</w:t>
            </w: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179,808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4,216,717</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October 27, 2026, the Company’s Board of Directors declared a quarterly cash dividend of $.20 per share. The dividend is payable on November 23, 2026 to shareholders of record as of the close of business on November 9,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KENNAMETAL INC.</w:t>
            </w:r>
          </w:p>
        </w:tc>
      </w:tr>
      <w:tr>
        <w:trPr>
          <w:trHeight w:val="499"/>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86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Michelle R. Keating</w:t>
            </w:r>
          </w:p>
        </w:tc>
      </w:tr>
      <w:tr>
        <w:trPr>
          <w:trHeight w:val="218"/>
        </w:trPr>
        <w:tc>
          <w:tcPr>
            <w:tcW w:w="6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26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Michelle R. Keating</w:t>
            </w:r>
          </w:p>
        </w:tc>
      </w:tr>
      <w:tr>
        <w:trPr>
          <w:trHeight w:val="189"/>
        </w:trPr>
        <w:tc>
          <w:tcPr>
            <w:tcW w:w="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6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Vice President, Secretary and</w:t>
            </w:r>
          </w:p>
        </w:tc>
      </w:tr>
      <w:tr>
        <w:trPr>
          <w:trHeight w:val="234"/>
        </w:trPr>
        <w:tc>
          <w:tcPr>
            <w:tcW w:w="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9"/>
    </w:lvl>
  </w:abstractNum>
  <w:abstractNum w:abstractNumId="2">
    <w:nsid w:val="2AE8944A"/>
    <w:multiLevelType w:val="hybridMultilevel"/>
    <w:lvl w:ilvl="0">
      <w:lvlJc w:val="left"/>
      <w:lvlText w:val="%1."/>
      <w:numFmt w:val="upperLetter"/>
      <w:start w:val="35"/>
    </w:lvl>
  </w:abstractNum>
  <w:abstractNum w:abstractNumId="3">
    <w:nsid w:val="625558EC"/>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2026-10-29T09:20:01Z</dcterms:created>
  <dcterms:modified xsi:type="dcterms:W3CDTF">2026-10-29T09:20:01Z</dcterms:modified>
</cp:coreProperties>
</file>