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Reilly Carlonda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20" w:lineRule="auto"/>
        <w:rPr>
          <w:sz w:val="20"/>
          <w:szCs w:val="20"/>
          <w:color w:val="auto"/>
        </w:rPr>
      </w:pPr>
      <w:r>
        <w:rPr>
          <w:rFonts w:ascii="Times New Roman" w:cs="Times New Roman" w:eastAsia="Times New Roman" w:hAnsi="Times New Roman"/>
          <w:sz w:val="17"/>
          <w:szCs w:val="17"/>
          <w:color w:val="0000FF"/>
        </w:rPr>
        <w:t>525 WILLIAM PENN PLACE 33RD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KENNAMETAL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15219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03/09/2026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13,410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36.314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38,746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3"/>
                <w:szCs w:val="23"/>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03/09/2026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1,590</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37,156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$36.26 to $36.40, inclusive. The reporting person undertakes to provide to Kennametal Inc., any security holder of Kennametal Inc., or the staff of the Securities and Exchange Commission, upon request, full information regarding the number of shares sold at each separate price within the ranges set forth in this footnote (1)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Michelle R. Keating,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Carlonda</w:t>
        <w:tab/>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Reilly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3234" TargetMode="External"/><Relationship Id="rId14" Type="http://schemas.openxmlformats.org/officeDocument/2006/relationships/hyperlink" Target="http://www.sec.gov/cgi-bin/browse-edgar?action=getcompany&amp;CIK=0000055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2026-03-10T12:53:31Z</dcterms:created>
  <dcterms:modified xsi:type="dcterms:W3CDTF">2026-03-10T12:53:31Z</dcterms:modified>
</cp:coreProperties>
</file>